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1DFA5" w14:textId="14FAD513" w:rsidR="00660358" w:rsidRPr="009C509C" w:rsidRDefault="6A2D138E" w:rsidP="662F8613">
      <w:pPr>
        <w:jc w:val="center"/>
        <w:rPr>
          <w:b/>
          <w:bCs/>
          <w:sz w:val="32"/>
          <w:szCs w:val="32"/>
        </w:rPr>
      </w:pPr>
      <w:r w:rsidRPr="24F45B63">
        <w:rPr>
          <w:b/>
          <w:bCs/>
          <w:sz w:val="32"/>
          <w:szCs w:val="32"/>
        </w:rPr>
        <w:t xml:space="preserve">Suspension and Permanent </w:t>
      </w:r>
      <w:r w:rsidR="2D3580AA" w:rsidRPr="24F45B63">
        <w:rPr>
          <w:b/>
          <w:bCs/>
          <w:sz w:val="32"/>
          <w:szCs w:val="32"/>
        </w:rPr>
        <w:t>Exclusion Policy</w:t>
      </w:r>
    </w:p>
    <w:tbl>
      <w:tblPr>
        <w:tblStyle w:val="TableGrid"/>
        <w:tblW w:w="0" w:type="auto"/>
        <w:tblLook w:val="04A0" w:firstRow="1" w:lastRow="0" w:firstColumn="1" w:lastColumn="0" w:noHBand="0" w:noVBand="1"/>
      </w:tblPr>
      <w:tblGrid>
        <w:gridCol w:w="5228"/>
        <w:gridCol w:w="5228"/>
      </w:tblGrid>
      <w:tr w:rsidR="00660358" w14:paraId="155552A4" w14:textId="77777777" w:rsidTr="00660358">
        <w:tc>
          <w:tcPr>
            <w:tcW w:w="5228" w:type="dxa"/>
          </w:tcPr>
          <w:p w14:paraId="4CC2F02B" w14:textId="77777777" w:rsidR="00660358" w:rsidRDefault="00660358" w:rsidP="00660358">
            <w:r>
              <w:t>Policy Reviewed:</w:t>
            </w:r>
          </w:p>
        </w:tc>
        <w:tc>
          <w:tcPr>
            <w:tcW w:w="5228" w:type="dxa"/>
          </w:tcPr>
          <w:p w14:paraId="4921EFAD" w14:textId="190A434C" w:rsidR="00660358" w:rsidRDefault="00453965" w:rsidP="00660358">
            <w:pPr>
              <w:jc w:val="center"/>
            </w:pPr>
            <w:r>
              <w:t>Autumn 2024</w:t>
            </w:r>
          </w:p>
        </w:tc>
      </w:tr>
      <w:tr w:rsidR="00660358" w14:paraId="3060573B" w14:textId="77777777" w:rsidTr="00660358">
        <w:tc>
          <w:tcPr>
            <w:tcW w:w="5228" w:type="dxa"/>
          </w:tcPr>
          <w:p w14:paraId="11A4A327" w14:textId="77777777" w:rsidR="00660358" w:rsidRDefault="00660358" w:rsidP="00660358">
            <w:r>
              <w:t xml:space="preserve">Next Review: </w:t>
            </w:r>
          </w:p>
        </w:tc>
        <w:tc>
          <w:tcPr>
            <w:tcW w:w="5228" w:type="dxa"/>
          </w:tcPr>
          <w:p w14:paraId="2F9E06F5" w14:textId="3CC05167" w:rsidR="00660358" w:rsidRDefault="00453965" w:rsidP="00660358">
            <w:pPr>
              <w:jc w:val="center"/>
            </w:pPr>
            <w:r>
              <w:t>Autumn 2025</w:t>
            </w:r>
          </w:p>
        </w:tc>
      </w:tr>
    </w:tbl>
    <w:p w14:paraId="672A6659" w14:textId="77777777" w:rsidR="00660358" w:rsidRPr="00660358" w:rsidRDefault="00660358" w:rsidP="00660358">
      <w:pPr>
        <w:jc w:val="center"/>
        <w:rPr>
          <w:rFonts w:asciiTheme="majorHAnsi" w:hAnsiTheme="majorHAnsi" w:cstheme="majorHAnsi"/>
        </w:rPr>
      </w:pPr>
    </w:p>
    <w:p w14:paraId="0D79F88C" w14:textId="2619B0BF" w:rsidR="24F45B63" w:rsidRDefault="0C0D4436" w:rsidP="42D67DD0">
      <w:pPr>
        <w:spacing w:after="300"/>
        <w:ind w:left="720" w:firstLine="720"/>
        <w:rPr>
          <w:rFonts w:ascii="Calibri Light" w:eastAsia="Calibri Light" w:hAnsi="Calibri Light" w:cs="Calibri Light"/>
          <w:i/>
          <w:iCs/>
          <w:sz w:val="24"/>
          <w:szCs w:val="24"/>
        </w:rPr>
      </w:pPr>
      <w:r w:rsidRPr="42D67DD0">
        <w:rPr>
          <w:rFonts w:ascii="Calibri Light" w:eastAsia="Calibri Light" w:hAnsi="Calibri Light" w:cs="Calibri Light"/>
          <w:i/>
          <w:iCs/>
          <w:sz w:val="24"/>
          <w:szCs w:val="24"/>
        </w:rPr>
        <w:t>This policy should be read in conjunction with the behaviour policy</w:t>
      </w:r>
    </w:p>
    <w:p w14:paraId="2C2FB153" w14:textId="2F0E356E" w:rsidR="42D67DD0" w:rsidRDefault="42D67DD0" w:rsidP="42D67DD0">
      <w:pPr>
        <w:spacing w:after="300"/>
        <w:ind w:firstLine="720"/>
        <w:rPr>
          <w:rFonts w:ascii="Calibri Light" w:eastAsia="Calibri Light" w:hAnsi="Calibri Light" w:cs="Calibri Light"/>
          <w:sz w:val="24"/>
          <w:szCs w:val="24"/>
        </w:rPr>
      </w:pPr>
    </w:p>
    <w:p w14:paraId="58563FA0" w14:textId="07FCA6AA" w:rsidR="00FF069A" w:rsidRDefault="00451520" w:rsidP="42D67DD0">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“Good behaviour in schools is essential to ensure that all pupils benefit from the opportunities provided by education. The government recognises that school </w:t>
      </w:r>
      <w:r w:rsidR="00FF069A">
        <w:rPr>
          <w:rFonts w:ascii="Calibri Light" w:eastAsia="Calibri Light" w:hAnsi="Calibri Light" w:cs="Calibri Light"/>
          <w:sz w:val="24"/>
          <w:szCs w:val="24"/>
        </w:rPr>
        <w:t>exclusions</w:t>
      </w:r>
      <w:r>
        <w:rPr>
          <w:rFonts w:ascii="Calibri Light" w:eastAsia="Calibri Light" w:hAnsi="Calibri Light" w:cs="Calibri Light"/>
          <w:sz w:val="24"/>
          <w:szCs w:val="24"/>
        </w:rPr>
        <w:t xml:space="preserve">, managed moves and off-site direction are essential behaviour management tools for </w:t>
      </w:r>
      <w:proofErr w:type="spellStart"/>
      <w:r>
        <w:rPr>
          <w:rFonts w:ascii="Calibri Light" w:eastAsia="Calibri Light" w:hAnsi="Calibri Light" w:cs="Calibri Light"/>
          <w:sz w:val="24"/>
          <w:szCs w:val="24"/>
        </w:rPr>
        <w:t>headteachers</w:t>
      </w:r>
      <w:proofErr w:type="spellEnd"/>
      <w:r>
        <w:rPr>
          <w:rFonts w:ascii="Calibri Light" w:eastAsia="Calibri Light" w:hAnsi="Calibri Light" w:cs="Calibri Light"/>
          <w:sz w:val="24"/>
          <w:szCs w:val="24"/>
        </w:rPr>
        <w:t xml:space="preserve"> and can be used to establish </w:t>
      </w:r>
      <w:r w:rsidR="00FF069A">
        <w:rPr>
          <w:rFonts w:ascii="Calibri Light" w:eastAsia="Calibri Light" w:hAnsi="Calibri Light" w:cs="Calibri Light"/>
          <w:sz w:val="24"/>
          <w:szCs w:val="24"/>
        </w:rPr>
        <w:t>high</w:t>
      </w:r>
      <w:r>
        <w:rPr>
          <w:rFonts w:ascii="Calibri Light" w:eastAsia="Calibri Light" w:hAnsi="Calibri Light" w:cs="Calibri Light"/>
          <w:sz w:val="24"/>
          <w:szCs w:val="24"/>
        </w:rPr>
        <w:t xml:space="preserve"> </w:t>
      </w:r>
      <w:r w:rsidR="00FF069A">
        <w:rPr>
          <w:rFonts w:ascii="Calibri Light" w:eastAsia="Calibri Light" w:hAnsi="Calibri Light" w:cs="Calibri Light"/>
          <w:sz w:val="24"/>
          <w:szCs w:val="24"/>
        </w:rPr>
        <w:t>standards</w:t>
      </w:r>
      <w:r>
        <w:rPr>
          <w:rFonts w:ascii="Calibri Light" w:eastAsia="Calibri Light" w:hAnsi="Calibri Light" w:cs="Calibri Light"/>
          <w:sz w:val="24"/>
          <w:szCs w:val="24"/>
        </w:rPr>
        <w:t xml:space="preserve"> of behaviour in </w:t>
      </w:r>
      <w:r w:rsidR="00FF069A">
        <w:rPr>
          <w:rFonts w:ascii="Calibri Light" w:eastAsia="Calibri Light" w:hAnsi="Calibri Light" w:cs="Calibri Light"/>
          <w:sz w:val="24"/>
          <w:szCs w:val="24"/>
        </w:rPr>
        <w:t>schools</w:t>
      </w:r>
      <w:r>
        <w:rPr>
          <w:rFonts w:ascii="Calibri Light" w:eastAsia="Calibri Light" w:hAnsi="Calibri Light" w:cs="Calibri Light"/>
          <w:sz w:val="24"/>
          <w:szCs w:val="24"/>
        </w:rPr>
        <w:t xml:space="preserve"> and maintain the safety of school communities</w:t>
      </w:r>
      <w:r w:rsidR="00FF069A">
        <w:rPr>
          <w:rFonts w:ascii="Calibri Light" w:eastAsia="Calibri Light" w:hAnsi="Calibri Light" w:cs="Calibri Light"/>
          <w:sz w:val="24"/>
          <w:szCs w:val="24"/>
        </w:rPr>
        <w:t>”</w:t>
      </w:r>
      <w:r w:rsidR="00FF069A">
        <w:rPr>
          <w:rStyle w:val="FootnoteReference"/>
          <w:rFonts w:ascii="Calibri Light" w:eastAsia="Calibri Light" w:hAnsi="Calibri Light" w:cs="Calibri Light"/>
          <w:sz w:val="24"/>
          <w:szCs w:val="24"/>
        </w:rPr>
        <w:footnoteReference w:id="1"/>
      </w:r>
      <w:r w:rsidR="00FF069A">
        <w:rPr>
          <w:rFonts w:ascii="Calibri Light" w:eastAsia="Calibri Light" w:hAnsi="Calibri Light" w:cs="Calibri Light"/>
          <w:sz w:val="24"/>
          <w:szCs w:val="24"/>
        </w:rPr>
        <w:t>.</w:t>
      </w:r>
    </w:p>
    <w:p w14:paraId="0A1EF8EE" w14:textId="495BB6D7" w:rsidR="0C0D4436" w:rsidRDefault="00FA0067" w:rsidP="42D67DD0">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Suspensions or e</w:t>
      </w:r>
      <w:r w:rsidR="0C0D4436" w:rsidRPr="42D67DD0">
        <w:rPr>
          <w:rFonts w:ascii="Calibri Light" w:eastAsia="Calibri Light" w:hAnsi="Calibri Light" w:cs="Calibri Light"/>
          <w:sz w:val="24"/>
          <w:szCs w:val="24"/>
        </w:rPr>
        <w:t xml:space="preserve">xclusions of any kind are </w:t>
      </w:r>
      <w:r w:rsidR="08E9FAB7" w:rsidRPr="42D67DD0">
        <w:rPr>
          <w:rFonts w:ascii="Calibri Light" w:eastAsia="Calibri Light" w:hAnsi="Calibri Light" w:cs="Calibri Light"/>
          <w:sz w:val="24"/>
          <w:szCs w:val="24"/>
        </w:rPr>
        <w:t>rare</w:t>
      </w:r>
      <w:r w:rsidR="0C0D4436" w:rsidRPr="42D67DD0">
        <w:rPr>
          <w:rFonts w:ascii="Calibri Light" w:eastAsia="Calibri Light" w:hAnsi="Calibri Light" w:cs="Calibri Light"/>
          <w:sz w:val="24"/>
          <w:szCs w:val="24"/>
        </w:rPr>
        <w:t xml:space="preserve"> at </w:t>
      </w:r>
      <w:r w:rsidR="00BE5339" w:rsidRPr="42D67DD0">
        <w:rPr>
          <w:rFonts w:ascii="Calibri Light" w:eastAsia="Calibri Light" w:hAnsi="Calibri Light" w:cs="Calibri Light"/>
          <w:sz w:val="24"/>
          <w:szCs w:val="24"/>
        </w:rPr>
        <w:t>Brook Sixth</w:t>
      </w:r>
      <w:r w:rsidR="3B116BFB" w:rsidRPr="42D67DD0">
        <w:rPr>
          <w:rFonts w:ascii="Calibri Light" w:eastAsia="Calibri Light" w:hAnsi="Calibri Light" w:cs="Calibri Light"/>
          <w:sz w:val="24"/>
          <w:szCs w:val="24"/>
        </w:rPr>
        <w:t xml:space="preserve"> Form and Academy</w:t>
      </w:r>
      <w:r w:rsidR="0C0D4436" w:rsidRPr="42D67DD0">
        <w:rPr>
          <w:rFonts w:ascii="Calibri Light" w:eastAsia="Calibri Light" w:hAnsi="Calibri Light" w:cs="Calibri Light"/>
          <w:sz w:val="24"/>
          <w:szCs w:val="24"/>
        </w:rPr>
        <w:t xml:space="preserve"> but, when it is appropriate to suspend or permanently exclude a </w:t>
      </w:r>
      <w:r w:rsidR="003E08F5">
        <w:rPr>
          <w:rFonts w:ascii="Calibri Light" w:eastAsia="Calibri Light" w:hAnsi="Calibri Light" w:cs="Calibri Light"/>
          <w:sz w:val="24"/>
          <w:szCs w:val="24"/>
        </w:rPr>
        <w:t>pupil</w:t>
      </w:r>
      <w:r w:rsidR="003E08F5">
        <w:rPr>
          <w:rStyle w:val="FootnoteReference"/>
          <w:rFonts w:ascii="Calibri Light" w:eastAsia="Calibri Light" w:hAnsi="Calibri Light" w:cs="Calibri Light"/>
          <w:sz w:val="24"/>
          <w:szCs w:val="24"/>
        </w:rPr>
        <w:footnoteReference w:id="2"/>
      </w:r>
      <w:r w:rsidR="0C0D4436" w:rsidRPr="42D67DD0">
        <w:rPr>
          <w:rFonts w:ascii="Calibri Light" w:eastAsia="Calibri Light" w:hAnsi="Calibri Light" w:cs="Calibri Light"/>
          <w:sz w:val="24"/>
          <w:szCs w:val="24"/>
        </w:rPr>
        <w:t xml:space="preserve"> from the school, it is done so based on the statutory guidance issued by the Department for Education (</w:t>
      </w:r>
      <w:proofErr w:type="spellStart"/>
      <w:r w:rsidR="0C0D4436" w:rsidRPr="42D67DD0">
        <w:rPr>
          <w:rFonts w:ascii="Calibri Light" w:eastAsia="Calibri Light" w:hAnsi="Calibri Light" w:cs="Calibri Light"/>
          <w:sz w:val="24"/>
          <w:szCs w:val="24"/>
        </w:rPr>
        <w:t>DfE</w:t>
      </w:r>
      <w:proofErr w:type="spellEnd"/>
      <w:r w:rsidR="0C0D4436" w:rsidRPr="42D67DD0">
        <w:rPr>
          <w:rFonts w:ascii="Calibri Light" w:eastAsia="Calibri Light" w:hAnsi="Calibri Light" w:cs="Calibri Light"/>
          <w:sz w:val="24"/>
          <w:szCs w:val="24"/>
        </w:rPr>
        <w:t>) which is summarised in this policy</w:t>
      </w:r>
      <w:r w:rsidR="4FB8FC23" w:rsidRPr="42D67DD0">
        <w:rPr>
          <w:rFonts w:ascii="Calibri Light" w:eastAsia="Calibri Light" w:hAnsi="Calibri Light" w:cs="Calibri Light"/>
          <w:sz w:val="24"/>
          <w:szCs w:val="24"/>
        </w:rPr>
        <w:t xml:space="preserve">. </w:t>
      </w:r>
      <w:r w:rsidR="0C0D4436" w:rsidRPr="42D67DD0">
        <w:rPr>
          <w:rFonts w:ascii="Calibri Light" w:eastAsia="Calibri Light" w:hAnsi="Calibri Light" w:cs="Calibri Light"/>
          <w:sz w:val="24"/>
          <w:szCs w:val="24"/>
        </w:rPr>
        <w:t xml:space="preserve">Suspensions or Permanent Exclusions are reserved for serious offences in school or for a continued pattern of other offences. The behaviour of students outside school can also be considered as grounds for suspension or permanent exclusion. Reference should be made to the </w:t>
      </w:r>
      <w:r w:rsidR="009A42F1" w:rsidRPr="42D67DD0">
        <w:rPr>
          <w:rFonts w:ascii="Calibri Light" w:eastAsia="Calibri Light" w:hAnsi="Calibri Light" w:cs="Calibri Light"/>
          <w:sz w:val="24"/>
          <w:szCs w:val="24"/>
        </w:rPr>
        <w:t>Brook Sixth Form and Academy</w:t>
      </w:r>
      <w:r w:rsidR="0C0D4436" w:rsidRPr="42D67DD0">
        <w:rPr>
          <w:rFonts w:ascii="Calibri Light" w:eastAsia="Calibri Light" w:hAnsi="Calibri Light" w:cs="Calibri Light"/>
          <w:sz w:val="24"/>
          <w:szCs w:val="24"/>
        </w:rPr>
        <w:t xml:space="preserve"> Behaviour Policy for specific detail.</w:t>
      </w:r>
    </w:p>
    <w:p w14:paraId="6252ABB1" w14:textId="29EEFFA0" w:rsidR="24F45B63" w:rsidRDefault="0C0D4436"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Principal</w:t>
      </w:r>
    </w:p>
    <w:p w14:paraId="5EFCEFAD" w14:textId="633DB583" w:rsidR="24F45B63" w:rsidRDefault="0C0D4436"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w:t>
      </w:r>
      <w:bookmarkStart w:id="0" w:name="_Int_M4EFKgGE"/>
      <w:r w:rsidRPr="42D67DD0">
        <w:rPr>
          <w:rFonts w:ascii="Calibri Light" w:eastAsia="Calibri Light" w:hAnsi="Calibri Light" w:cs="Calibri Light"/>
          <w:sz w:val="24"/>
          <w:szCs w:val="24"/>
        </w:rPr>
        <w:t>Principal</w:t>
      </w:r>
      <w:bookmarkEnd w:id="0"/>
      <w:r w:rsidRPr="42D67DD0">
        <w:rPr>
          <w:rFonts w:ascii="Calibri Light" w:eastAsia="Calibri Light" w:hAnsi="Calibri Light" w:cs="Calibri Light"/>
          <w:sz w:val="24"/>
          <w:szCs w:val="24"/>
        </w:rPr>
        <w:t xml:space="preserve"> is the only person with the power to suspend or permanently exclude a </w:t>
      </w:r>
      <w:r w:rsidR="20639DDD" w:rsidRPr="42D67DD0">
        <w:rPr>
          <w:rFonts w:ascii="Calibri Light" w:eastAsia="Calibri Light" w:hAnsi="Calibri Light" w:cs="Calibri Light"/>
          <w:sz w:val="24"/>
          <w:szCs w:val="24"/>
        </w:rPr>
        <w:t>student</w:t>
      </w:r>
      <w:r w:rsidR="003E08F5">
        <w:rPr>
          <w:rFonts w:ascii="Calibri Light" w:eastAsia="Calibri Light" w:hAnsi="Calibri Light" w:cs="Calibri Light"/>
          <w:sz w:val="24"/>
          <w:szCs w:val="24"/>
        </w:rPr>
        <w:t xml:space="preserve"> from the school. </w:t>
      </w:r>
      <w:r w:rsidRPr="42D67DD0">
        <w:rPr>
          <w:rFonts w:ascii="Calibri Light" w:eastAsia="Calibri Light" w:hAnsi="Calibri Light" w:cs="Calibri Light"/>
          <w:sz w:val="24"/>
          <w:szCs w:val="24"/>
        </w:rPr>
        <w:t xml:space="preserve">When establishing the facts in relation to a suspension or a permanent exclusion decision, the </w:t>
      </w:r>
      <w:bookmarkStart w:id="1" w:name="_Int_VUPbB6F6"/>
      <w:r w:rsidR="1AF77382" w:rsidRPr="42D67DD0">
        <w:rPr>
          <w:rFonts w:ascii="Calibri Light" w:eastAsia="Calibri Light" w:hAnsi="Calibri Light" w:cs="Calibri Light"/>
          <w:sz w:val="24"/>
          <w:szCs w:val="24"/>
        </w:rPr>
        <w:t>Principal</w:t>
      </w:r>
      <w:bookmarkEnd w:id="1"/>
      <w:r w:rsidRPr="42D67DD0">
        <w:rPr>
          <w:rFonts w:ascii="Calibri Light" w:eastAsia="Calibri Light" w:hAnsi="Calibri Light" w:cs="Calibri Light"/>
          <w:sz w:val="24"/>
          <w:szCs w:val="24"/>
        </w:rPr>
        <w:t xml:space="preserve"> must apply the civil standard of proof, i.e. ‘on the balance of probabilities’ which means that it is more likely than not that a fact is true. This should be applied rather than the criminal standard of ‘beyond reasonable doubt</w:t>
      </w:r>
      <w:r w:rsidR="7ACE7F23" w:rsidRPr="42D67DD0">
        <w:rPr>
          <w:rFonts w:ascii="Calibri Light" w:eastAsia="Calibri Light" w:hAnsi="Calibri Light" w:cs="Calibri Light"/>
          <w:sz w:val="24"/>
          <w:szCs w:val="24"/>
        </w:rPr>
        <w:t>.’</w:t>
      </w:r>
      <w:r w:rsidRPr="42D67DD0">
        <w:rPr>
          <w:rFonts w:ascii="Calibri Light" w:eastAsia="Calibri Light" w:hAnsi="Calibri Light" w:cs="Calibri Light"/>
          <w:sz w:val="24"/>
          <w:szCs w:val="24"/>
        </w:rPr>
        <w:t xml:space="preserve"> “The decision must be lawful; reasonable; fair; and proportionate.” The </w:t>
      </w:r>
      <w:bookmarkStart w:id="2" w:name="_Int_zTtyfREM"/>
      <w:r w:rsidR="7F1E670A" w:rsidRPr="42D67DD0">
        <w:rPr>
          <w:rFonts w:ascii="Calibri Light" w:eastAsia="Calibri Light" w:hAnsi="Calibri Light" w:cs="Calibri Light"/>
          <w:sz w:val="24"/>
          <w:szCs w:val="24"/>
        </w:rPr>
        <w:t>Principal</w:t>
      </w:r>
      <w:bookmarkEnd w:id="2"/>
      <w:r w:rsidRPr="42D67DD0">
        <w:rPr>
          <w:rFonts w:ascii="Calibri Light" w:eastAsia="Calibri Light" w:hAnsi="Calibri Light" w:cs="Calibri Light"/>
          <w:sz w:val="24"/>
          <w:szCs w:val="24"/>
        </w:rPr>
        <w:t xml:space="preserve"> has the power to cancel an exclusion if it has not been reviewed by Governing Board.</w:t>
      </w:r>
    </w:p>
    <w:p w14:paraId="03831AB7" w14:textId="14A3D0D0" w:rsidR="061CA6DA" w:rsidRDefault="061CA6DA" w:rsidP="42D67DD0">
      <w:pPr>
        <w:spacing w:after="300"/>
        <w:jc w:val="both"/>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Governing Bo</w:t>
      </w:r>
      <w:r w:rsidR="1C9D126D" w:rsidRPr="42D67DD0">
        <w:rPr>
          <w:rFonts w:ascii="Calibri Light" w:eastAsia="Calibri Light" w:hAnsi="Calibri Light" w:cs="Calibri Light"/>
          <w:b/>
          <w:bCs/>
          <w:sz w:val="24"/>
          <w:szCs w:val="24"/>
        </w:rPr>
        <w:t>dy</w:t>
      </w:r>
      <w:r w:rsidRPr="42D67DD0">
        <w:rPr>
          <w:rFonts w:ascii="Calibri Light" w:eastAsia="Calibri Light" w:hAnsi="Calibri Light" w:cs="Calibri Light"/>
          <w:b/>
          <w:bCs/>
          <w:sz w:val="24"/>
          <w:szCs w:val="24"/>
        </w:rPr>
        <w:t xml:space="preserve"> </w:t>
      </w:r>
    </w:p>
    <w:p w14:paraId="4FDF2A94" w14:textId="08CC7338" w:rsidR="061CA6DA" w:rsidRDefault="061CA6D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governing board reviews and approves the </w:t>
      </w:r>
      <w:r w:rsidR="009A42F1" w:rsidRPr="42D67DD0">
        <w:rPr>
          <w:rFonts w:ascii="Calibri Light" w:eastAsia="Calibri Light" w:hAnsi="Calibri Light" w:cs="Calibri Light"/>
          <w:sz w:val="24"/>
          <w:szCs w:val="24"/>
        </w:rPr>
        <w:t>Brook Sixth Form and Academy</w:t>
      </w:r>
      <w:r w:rsidRPr="42D67DD0">
        <w:rPr>
          <w:rFonts w:ascii="Calibri Light" w:eastAsia="Calibri Light" w:hAnsi="Calibri Light" w:cs="Calibri Light"/>
          <w:sz w:val="24"/>
          <w:szCs w:val="24"/>
        </w:rPr>
        <w:t xml:space="preserve"> Behaviour Policy on an annual basis. The </w:t>
      </w:r>
      <w:bookmarkStart w:id="3" w:name="_Int_HQtpi6Th"/>
      <w:r w:rsidR="1DAD6840" w:rsidRPr="42D67DD0">
        <w:rPr>
          <w:rFonts w:ascii="Calibri Light" w:eastAsia="Calibri Light" w:hAnsi="Calibri Light" w:cs="Calibri Light"/>
          <w:sz w:val="24"/>
          <w:szCs w:val="24"/>
        </w:rPr>
        <w:t>Principal</w:t>
      </w:r>
      <w:bookmarkEnd w:id="3"/>
      <w:r w:rsidRPr="42D67DD0">
        <w:rPr>
          <w:rFonts w:ascii="Calibri Light" w:eastAsia="Calibri Light" w:hAnsi="Calibri Light" w:cs="Calibri Light"/>
          <w:sz w:val="24"/>
          <w:szCs w:val="24"/>
        </w:rPr>
        <w:t xml:space="preserve"> has the delegated authority to implement this policy and may, should the need arise, consult with the Chair of the governing board regarding the policy’s implementation</w:t>
      </w:r>
      <w:r w:rsidR="403044CB" w:rsidRPr="42D67DD0">
        <w:rPr>
          <w:rFonts w:ascii="Calibri Light" w:eastAsia="Calibri Light" w:hAnsi="Calibri Light" w:cs="Calibri Light"/>
          <w:sz w:val="24"/>
          <w:szCs w:val="24"/>
        </w:rPr>
        <w:t xml:space="preserve">. </w:t>
      </w:r>
      <w:r w:rsidRPr="42D67DD0">
        <w:rPr>
          <w:rFonts w:ascii="Calibri Light" w:eastAsia="Calibri Light" w:hAnsi="Calibri Light" w:cs="Calibri Light"/>
          <w:sz w:val="24"/>
          <w:szCs w:val="24"/>
        </w:rPr>
        <w:t xml:space="preserve">The Chair of the </w:t>
      </w:r>
      <w:r w:rsidRPr="42D67DD0">
        <w:rPr>
          <w:rFonts w:ascii="Calibri Light" w:eastAsia="Calibri Light" w:hAnsi="Calibri Light" w:cs="Calibri Light"/>
          <w:sz w:val="24"/>
          <w:szCs w:val="24"/>
        </w:rPr>
        <w:lastRenderedPageBreak/>
        <w:t>governing board is required to ensure that there are clear processes in place for considering suspensions and exclusions and to ensure the school complies with its legal duty to arrange suitable full-time education from the sixth day of a suspension or a permanent exclusion</w:t>
      </w:r>
      <w:r w:rsidR="115834BA" w:rsidRPr="42D67DD0">
        <w:rPr>
          <w:rFonts w:ascii="Calibri Light" w:eastAsia="Calibri Light" w:hAnsi="Calibri Light" w:cs="Calibri Light"/>
          <w:sz w:val="24"/>
          <w:szCs w:val="24"/>
        </w:rPr>
        <w:t xml:space="preserve">. </w:t>
      </w:r>
      <w:r w:rsidRPr="42D67DD0">
        <w:rPr>
          <w:rFonts w:ascii="Calibri Light" w:eastAsia="Calibri Light" w:hAnsi="Calibri Light" w:cs="Calibri Light"/>
          <w:sz w:val="24"/>
          <w:szCs w:val="24"/>
        </w:rPr>
        <w:t xml:space="preserve">The </w:t>
      </w:r>
      <w:bookmarkStart w:id="4" w:name="_Int_MHR0355L"/>
      <w:r w:rsidRPr="42D67DD0">
        <w:rPr>
          <w:rFonts w:ascii="Calibri Light" w:eastAsia="Calibri Light" w:hAnsi="Calibri Light" w:cs="Calibri Light"/>
          <w:sz w:val="24"/>
          <w:szCs w:val="24"/>
        </w:rPr>
        <w:t>Principal</w:t>
      </w:r>
      <w:bookmarkEnd w:id="4"/>
      <w:r w:rsidRPr="42D67DD0">
        <w:rPr>
          <w:rFonts w:ascii="Calibri Light" w:eastAsia="Calibri Light" w:hAnsi="Calibri Light" w:cs="Calibri Light"/>
          <w:sz w:val="24"/>
          <w:szCs w:val="24"/>
        </w:rPr>
        <w:t xml:space="preserve"> must inform the governing board of all suspensions and permanent exclusions. However, if the Chair of the governing board has been consulted concerning the </w:t>
      </w:r>
      <w:bookmarkStart w:id="5" w:name="_Int_O7Hijyiv"/>
      <w:r w:rsidRPr="42D67DD0">
        <w:rPr>
          <w:rFonts w:ascii="Calibri Light" w:eastAsia="Calibri Light" w:hAnsi="Calibri Light" w:cs="Calibri Light"/>
          <w:sz w:val="24"/>
          <w:szCs w:val="24"/>
        </w:rPr>
        <w:t>Principal’s</w:t>
      </w:r>
      <w:bookmarkEnd w:id="5"/>
      <w:r w:rsidR="2D7966C0" w:rsidRPr="42D67DD0">
        <w:rPr>
          <w:rFonts w:ascii="Calibri Light" w:eastAsia="Calibri Light" w:hAnsi="Calibri Light" w:cs="Calibri Light"/>
          <w:sz w:val="24"/>
          <w:szCs w:val="24"/>
        </w:rPr>
        <w:t xml:space="preserve"> </w:t>
      </w:r>
      <w:r w:rsidRPr="42D67DD0">
        <w:rPr>
          <w:rFonts w:ascii="Calibri Light" w:eastAsia="Calibri Light" w:hAnsi="Calibri Light" w:cs="Calibri Light"/>
          <w:sz w:val="24"/>
          <w:szCs w:val="24"/>
        </w:rPr>
        <w:t>consideration of a suspension or permanent exclusion that subsequently leads to the convening of the Suspensions and Permanent Exclusions Committee, the Chair cannot be a member of that Committee to review the suspension or permanent exclusion</w:t>
      </w:r>
      <w:r w:rsidR="0A133C49" w:rsidRPr="42D67DD0">
        <w:rPr>
          <w:rFonts w:ascii="Calibri Light" w:eastAsia="Calibri Light" w:hAnsi="Calibri Light" w:cs="Calibri Light"/>
          <w:sz w:val="24"/>
          <w:szCs w:val="24"/>
        </w:rPr>
        <w:t xml:space="preserve">. </w:t>
      </w:r>
    </w:p>
    <w:p w14:paraId="13A35471" w14:textId="3573FA93" w:rsidR="7CFFDAD8" w:rsidRDefault="7CFFDAD8"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Suspensions &amp; Permanent Exclusions Committee</w:t>
      </w:r>
    </w:p>
    <w:p w14:paraId="356CFF57" w14:textId="76EFEFAA" w:rsidR="42D67DD0" w:rsidRDefault="7CFFDAD8" w:rsidP="00523ACC">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 The Suspensions &amp; Permanent Exclusions Committee should be made up of at least three members of the governing board who have no previous knowledge of the suspension or exclusion nor be known to the student or the parents/carers. The Committee will conduct the hearing in accordance with the terms of the latest statutory guidance from the </w:t>
      </w:r>
      <w:proofErr w:type="spellStart"/>
      <w:r w:rsidRPr="42D67DD0">
        <w:rPr>
          <w:rFonts w:ascii="Calibri Light" w:eastAsia="Calibri Light" w:hAnsi="Calibri Light" w:cs="Calibri Light"/>
          <w:sz w:val="24"/>
          <w:szCs w:val="24"/>
        </w:rPr>
        <w:t>DfE</w:t>
      </w:r>
      <w:proofErr w:type="spellEnd"/>
      <w:r w:rsidRPr="42D67DD0">
        <w:rPr>
          <w:rFonts w:ascii="Calibri Light" w:eastAsia="Calibri Light" w:hAnsi="Calibri Light" w:cs="Calibri Light"/>
          <w:sz w:val="24"/>
          <w:szCs w:val="24"/>
        </w:rPr>
        <w:t xml:space="preserve">. They consider the circumstances in which the student was suspended or excluded and any representations from the parents/carers or their representative. Where the Committee has the power to direct reinstatement and decides to do so, the </w:t>
      </w:r>
      <w:bookmarkStart w:id="6" w:name="_Int_NQj8BlsM"/>
      <w:r w:rsidRPr="42D67DD0">
        <w:rPr>
          <w:rFonts w:ascii="Calibri Light" w:eastAsia="Calibri Light" w:hAnsi="Calibri Light" w:cs="Calibri Light"/>
          <w:sz w:val="24"/>
          <w:szCs w:val="24"/>
        </w:rPr>
        <w:t>Principal</w:t>
      </w:r>
      <w:bookmarkEnd w:id="6"/>
      <w:r w:rsidRPr="42D67DD0">
        <w:rPr>
          <w:rFonts w:ascii="Calibri Light" w:eastAsia="Calibri Light" w:hAnsi="Calibri Light" w:cs="Calibri Light"/>
          <w:sz w:val="24"/>
          <w:szCs w:val="24"/>
        </w:rPr>
        <w:t xml:space="preserve"> must comply with this ruling.</w:t>
      </w:r>
    </w:p>
    <w:p w14:paraId="31E3582F" w14:textId="3AEB7125" w:rsidR="3BA4C00A" w:rsidRDefault="3BA4C00A"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 xml:space="preserve">Suspensions or Permanent Exclusions affecting public examinations </w:t>
      </w:r>
    </w:p>
    <w:p w14:paraId="4E19CC60" w14:textId="738224B8"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A suspension or permanent exclusion which would result in a student missing a public examination must, as far as reasonably practical, be considered and decided upon by the Suspensions &amp; Permanent Exclusions Committee before the date of the examination. </w:t>
      </w:r>
    </w:p>
    <w:p w14:paraId="1CEB95D9" w14:textId="473E3985" w:rsidR="3BA4C00A" w:rsidRDefault="3BA4C00A"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 xml:space="preserve">Suspension &amp; Permanent Exclusion  </w:t>
      </w:r>
    </w:p>
    <w:p w14:paraId="085223D3" w14:textId="7D4A3ABF" w:rsidR="3BA4C00A" w:rsidRDefault="3BA4C00A"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 xml:space="preserve">Suspension </w:t>
      </w:r>
    </w:p>
    <w:p w14:paraId="52677E45" w14:textId="758CA630" w:rsidR="003E08F5" w:rsidRDefault="003E08F5" w:rsidP="42D67DD0">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A suspension, where a pupil is temporarily removed from the school, is an essential behaviour management tool.</w:t>
      </w:r>
    </w:p>
    <w:p w14:paraId="2FD086D6" w14:textId="1019E40F" w:rsidR="003E08F5" w:rsidRDefault="003E08F5" w:rsidP="42D67DD0">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A pupil may be suspended for one or more fixed periods, up to a maximum of 45 school days in a single</w:t>
      </w:r>
      <w:r w:rsidR="002D18A6">
        <w:rPr>
          <w:rFonts w:ascii="Calibri Light" w:eastAsia="Calibri Light" w:hAnsi="Calibri Light" w:cs="Calibri Light"/>
          <w:sz w:val="24"/>
          <w:szCs w:val="24"/>
        </w:rPr>
        <w:t xml:space="preserve"> academic year, or permanently excluded.</w:t>
      </w:r>
    </w:p>
    <w:p w14:paraId="4C4EC68D" w14:textId="01486894" w:rsidR="00245FAC" w:rsidRDefault="00245FAC" w:rsidP="42D67DD0">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The law does not allow for extending a suspension or ‘converting’ a suspension into a permanent exclusion. In exceptional cases, usually where further evidence has come to light, a further suspension may be issued to begin immediately after the first suspension ends; or a permanent exclusion may be issued to begin immediately after the end of the suspension.</w:t>
      </w:r>
    </w:p>
    <w:p w14:paraId="5F09ADC8" w14:textId="60809BB7"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Where the </w:t>
      </w:r>
      <w:r w:rsidR="2B4F208E"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is of compulsory school age, for the first five school days of a suspension (or until the start date of any alternative provision where this is earlier) parents/carers are legally required to ensure that their child is not present in a public place during school hours without reasonable justification. Parents/carers who fail to do so may be given a fixed penalty notice or prosecuted. </w:t>
      </w:r>
    </w:p>
    <w:p w14:paraId="1292DEAA" w14:textId="49576EAF"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 If a pupil has been suspended, </w:t>
      </w:r>
      <w:r w:rsidR="009A42F1" w:rsidRPr="42D67DD0">
        <w:rPr>
          <w:rFonts w:ascii="Calibri Light" w:eastAsia="Calibri Light" w:hAnsi="Calibri Light" w:cs="Calibri Light"/>
          <w:sz w:val="24"/>
          <w:szCs w:val="24"/>
        </w:rPr>
        <w:t>Brook Sixth Form and Academy</w:t>
      </w:r>
      <w:r w:rsidRPr="42D67DD0">
        <w:rPr>
          <w:rFonts w:ascii="Calibri Light" w:eastAsia="Calibri Light" w:hAnsi="Calibri Light" w:cs="Calibri Light"/>
          <w:sz w:val="24"/>
          <w:szCs w:val="24"/>
        </w:rPr>
        <w:t xml:space="preserve"> will set and mark work for the first five school days of the suspension. If the suspension is longer than five school days, </w:t>
      </w:r>
      <w:r w:rsidR="009A42F1" w:rsidRPr="42D67DD0">
        <w:rPr>
          <w:rFonts w:ascii="Calibri Light" w:eastAsia="Calibri Light" w:hAnsi="Calibri Light" w:cs="Calibri Light"/>
          <w:sz w:val="24"/>
          <w:szCs w:val="24"/>
        </w:rPr>
        <w:t>Brook Sixth Form and Academy</w:t>
      </w:r>
      <w:r w:rsidRPr="42D67DD0">
        <w:rPr>
          <w:rFonts w:ascii="Calibri Light" w:eastAsia="Calibri Light" w:hAnsi="Calibri Light" w:cs="Calibri Light"/>
          <w:sz w:val="24"/>
          <w:szCs w:val="24"/>
        </w:rPr>
        <w:t xml:space="preserve"> will arrange suitable full-time education from the sixth school day. </w:t>
      </w:r>
    </w:p>
    <w:p w14:paraId="037BDC30" w14:textId="77777777" w:rsidR="00523ACC" w:rsidRDefault="00523ACC" w:rsidP="42D67DD0">
      <w:pPr>
        <w:spacing w:after="300"/>
        <w:rPr>
          <w:rFonts w:ascii="Calibri Light" w:eastAsia="Calibri Light" w:hAnsi="Calibri Light" w:cs="Calibri Light"/>
          <w:b/>
          <w:bCs/>
          <w:sz w:val="24"/>
          <w:szCs w:val="24"/>
        </w:rPr>
      </w:pPr>
    </w:p>
    <w:p w14:paraId="0B306C12" w14:textId="6DCA4311" w:rsidR="3BA4C00A" w:rsidRDefault="3BA4C00A"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lastRenderedPageBreak/>
        <w:t xml:space="preserve">Permanent exclusion  </w:t>
      </w:r>
    </w:p>
    <w:p w14:paraId="49A6F679" w14:textId="2D6F5B5A"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Permanent exc</w:t>
      </w:r>
      <w:r w:rsidR="00245FAC">
        <w:rPr>
          <w:rFonts w:ascii="Calibri Light" w:eastAsia="Calibri Light" w:hAnsi="Calibri Light" w:cs="Calibri Light"/>
          <w:sz w:val="24"/>
          <w:szCs w:val="24"/>
        </w:rPr>
        <w:t>lusion is when a pupil is no longer allowed to attend a school</w:t>
      </w:r>
      <w:r w:rsidR="382C1154" w:rsidRPr="42D67DD0">
        <w:rPr>
          <w:rFonts w:ascii="Calibri Light" w:eastAsia="Calibri Light" w:hAnsi="Calibri Light" w:cs="Calibri Light"/>
          <w:sz w:val="24"/>
          <w:szCs w:val="24"/>
        </w:rPr>
        <w:t xml:space="preserve">. </w:t>
      </w:r>
      <w:r w:rsidRPr="42D67DD0">
        <w:rPr>
          <w:rFonts w:ascii="Calibri Light" w:eastAsia="Calibri Light" w:hAnsi="Calibri Light" w:cs="Calibri Light"/>
          <w:sz w:val="24"/>
          <w:szCs w:val="24"/>
        </w:rPr>
        <w:t xml:space="preserve">The appropriate local authority must arrange full-time education from the sixth school day. The </w:t>
      </w:r>
      <w:proofErr w:type="spellStart"/>
      <w:r w:rsidRPr="42D67DD0">
        <w:rPr>
          <w:rFonts w:ascii="Calibri Light" w:eastAsia="Calibri Light" w:hAnsi="Calibri Light" w:cs="Calibri Light"/>
          <w:sz w:val="24"/>
          <w:szCs w:val="24"/>
        </w:rPr>
        <w:t>DfE’s</w:t>
      </w:r>
      <w:proofErr w:type="spellEnd"/>
      <w:r w:rsidRPr="42D67DD0">
        <w:rPr>
          <w:rFonts w:ascii="Calibri Light" w:eastAsia="Calibri Light" w:hAnsi="Calibri Light" w:cs="Calibri Light"/>
          <w:sz w:val="24"/>
          <w:szCs w:val="24"/>
        </w:rPr>
        <w:t xml:space="preserve"> Statutory Guidance states </w:t>
      </w:r>
      <w:r w:rsidR="38EE8A6D" w:rsidRPr="42D67DD0">
        <w:rPr>
          <w:rFonts w:ascii="Calibri Light" w:eastAsia="Calibri Light" w:hAnsi="Calibri Light" w:cs="Calibri Light"/>
          <w:sz w:val="24"/>
          <w:szCs w:val="24"/>
        </w:rPr>
        <w:t>that: -</w:t>
      </w:r>
      <w:r w:rsidRPr="42D67DD0">
        <w:rPr>
          <w:rFonts w:ascii="Calibri Light" w:eastAsia="Calibri Light" w:hAnsi="Calibri Light" w:cs="Calibri Light"/>
          <w:sz w:val="24"/>
          <w:szCs w:val="24"/>
        </w:rPr>
        <w:t xml:space="preserve"> </w:t>
      </w:r>
    </w:p>
    <w:p w14:paraId="262EF2DD" w14:textId="1F63E5FB"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decision to exclude a </w:t>
      </w:r>
      <w:r w:rsidR="30D2F252"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permanently should only be taken: </w:t>
      </w:r>
    </w:p>
    <w:p w14:paraId="0A034439" w14:textId="5E347EA3" w:rsidR="3BA4C00A" w:rsidRDefault="3BA4C00A" w:rsidP="42D67DD0">
      <w:pPr>
        <w:pStyle w:val="ListParagraph"/>
        <w:numPr>
          <w:ilvl w:val="0"/>
          <w:numId w:val="3"/>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 in response to a serious breach or persistent breaches of the school's behaviour policy; and </w:t>
      </w:r>
    </w:p>
    <w:p w14:paraId="7DD20E05" w14:textId="50A64D9E" w:rsidR="3BA4C00A" w:rsidRDefault="3BA4C00A" w:rsidP="42D67DD0">
      <w:pPr>
        <w:pStyle w:val="ListParagraph"/>
        <w:numPr>
          <w:ilvl w:val="0"/>
          <w:numId w:val="3"/>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 where allowing the </w:t>
      </w:r>
      <w:r w:rsidR="7F727BF4"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to remain in school would seriously harm the education or welfare of the </w:t>
      </w:r>
      <w:r w:rsidR="0DAA182F"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or others such as staff or </w:t>
      </w:r>
      <w:r w:rsidR="645DA831" w:rsidRPr="42D67DD0">
        <w:rPr>
          <w:rFonts w:ascii="Calibri Light" w:eastAsia="Calibri Light" w:hAnsi="Calibri Light" w:cs="Calibri Light"/>
          <w:sz w:val="24"/>
          <w:szCs w:val="24"/>
        </w:rPr>
        <w:t>students</w:t>
      </w:r>
      <w:r w:rsidRPr="42D67DD0">
        <w:rPr>
          <w:rFonts w:ascii="Calibri Light" w:eastAsia="Calibri Light" w:hAnsi="Calibri Light" w:cs="Calibri Light"/>
          <w:sz w:val="24"/>
          <w:szCs w:val="24"/>
        </w:rPr>
        <w:t xml:space="preserve"> in the school.” </w:t>
      </w:r>
    </w:p>
    <w:p w14:paraId="06D18966" w14:textId="218E02AA"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In respect of full-time education from the sixth school day, </w:t>
      </w:r>
      <w:r w:rsidR="009A42F1" w:rsidRPr="42D67DD0">
        <w:rPr>
          <w:rFonts w:ascii="Calibri Light" w:eastAsia="Calibri Light" w:hAnsi="Calibri Light" w:cs="Calibri Light"/>
          <w:sz w:val="24"/>
          <w:szCs w:val="24"/>
        </w:rPr>
        <w:t>Brook Sixth Form and Academy</w:t>
      </w:r>
      <w:r w:rsidRPr="42D67DD0">
        <w:rPr>
          <w:rFonts w:ascii="Calibri Light" w:eastAsia="Calibri Light" w:hAnsi="Calibri Light" w:cs="Calibri Light"/>
          <w:sz w:val="24"/>
          <w:szCs w:val="24"/>
        </w:rPr>
        <w:t xml:space="preserve"> or the appropriate local authority will inform parents/carers about the alternative education that is arranged</w:t>
      </w:r>
      <w:r w:rsidR="77936F9E" w:rsidRPr="42D67DD0">
        <w:rPr>
          <w:rFonts w:ascii="Calibri Light" w:eastAsia="Calibri Light" w:hAnsi="Calibri Light" w:cs="Calibri Light"/>
          <w:sz w:val="24"/>
          <w:szCs w:val="24"/>
        </w:rPr>
        <w:t xml:space="preserve">. </w:t>
      </w:r>
      <w:r w:rsidRPr="42D67DD0">
        <w:rPr>
          <w:rFonts w:ascii="Calibri Light" w:eastAsia="Calibri Light" w:hAnsi="Calibri Light" w:cs="Calibri Light"/>
          <w:sz w:val="24"/>
          <w:szCs w:val="24"/>
        </w:rPr>
        <w:t xml:space="preserve">It is the parents’/carers’ responsibility to make sure their child attends. </w:t>
      </w:r>
    </w:p>
    <w:p w14:paraId="557D93ED" w14:textId="01DB2420" w:rsidR="3BA4C00A" w:rsidRDefault="3BA4C00A" w:rsidP="42D67DD0">
      <w:pPr>
        <w:spacing w:after="300"/>
        <w:rPr>
          <w:rFonts w:ascii="Calibri Light" w:eastAsia="Calibri Light" w:hAnsi="Calibri Light" w:cs="Calibri Light"/>
          <w:b/>
          <w:bCs/>
          <w:sz w:val="24"/>
          <w:szCs w:val="24"/>
        </w:rPr>
      </w:pPr>
      <w:r w:rsidRPr="42D67DD0">
        <w:rPr>
          <w:rFonts w:ascii="Calibri Light" w:eastAsia="Calibri Light" w:hAnsi="Calibri Light" w:cs="Calibri Light"/>
          <w:b/>
          <w:bCs/>
          <w:sz w:val="24"/>
          <w:szCs w:val="24"/>
        </w:rPr>
        <w:t xml:space="preserve">Notification of suspensions &amp; permanent exclusions </w:t>
      </w:r>
    </w:p>
    <w:p w14:paraId="419F2FF0" w14:textId="49FA9644"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Whenever the </w:t>
      </w:r>
      <w:r w:rsidR="16CA2D7F" w:rsidRPr="42D67DD0">
        <w:rPr>
          <w:rFonts w:ascii="Calibri Light" w:eastAsia="Calibri Light" w:hAnsi="Calibri Light" w:cs="Calibri Light"/>
          <w:sz w:val="24"/>
          <w:szCs w:val="24"/>
        </w:rPr>
        <w:t xml:space="preserve">Principal </w:t>
      </w:r>
      <w:r w:rsidRPr="42D67DD0">
        <w:rPr>
          <w:rFonts w:ascii="Calibri Light" w:eastAsia="Calibri Light" w:hAnsi="Calibri Light" w:cs="Calibri Light"/>
          <w:sz w:val="24"/>
          <w:szCs w:val="24"/>
        </w:rPr>
        <w:t xml:space="preserve">suspends or permanently excludes a </w:t>
      </w:r>
      <w:r w:rsidR="4B95FFA1"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they will, on the same day as the suspension or permanent exclusion, notify parents/carers. The </w:t>
      </w:r>
      <w:bookmarkStart w:id="7" w:name="_Int_3We6JrgF"/>
      <w:r w:rsidR="168BFB4F" w:rsidRPr="42D67DD0">
        <w:rPr>
          <w:rFonts w:ascii="Calibri Light" w:eastAsia="Calibri Light" w:hAnsi="Calibri Light" w:cs="Calibri Light"/>
          <w:sz w:val="24"/>
          <w:szCs w:val="24"/>
        </w:rPr>
        <w:t>Principal</w:t>
      </w:r>
      <w:bookmarkEnd w:id="7"/>
      <w:r w:rsidRPr="42D67DD0">
        <w:rPr>
          <w:rFonts w:ascii="Calibri Light" w:eastAsia="Calibri Light" w:hAnsi="Calibri Light" w:cs="Calibri Light"/>
          <w:sz w:val="24"/>
          <w:szCs w:val="24"/>
        </w:rPr>
        <w:t xml:space="preserve"> will also provide parents/carers with the following information in </w:t>
      </w:r>
      <w:r w:rsidR="69957341" w:rsidRPr="42D67DD0">
        <w:rPr>
          <w:rFonts w:ascii="Calibri Light" w:eastAsia="Calibri Light" w:hAnsi="Calibri Light" w:cs="Calibri Light"/>
          <w:sz w:val="24"/>
          <w:szCs w:val="24"/>
        </w:rPr>
        <w:t>writing: -</w:t>
      </w:r>
    </w:p>
    <w:p w14:paraId="23F40BFE" w14:textId="5427B9D8" w:rsidR="3BA4C00A" w:rsidRDefault="3BA4C00A" w:rsidP="42D67DD0">
      <w:pPr>
        <w:pStyle w:val="ListParagraph"/>
        <w:numPr>
          <w:ilvl w:val="0"/>
          <w:numId w:val="2"/>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reasons for a suspension or a permanent exclusion; </w:t>
      </w:r>
    </w:p>
    <w:p w14:paraId="0CF2D5CD" w14:textId="011FAA63" w:rsidR="3BA4C00A" w:rsidRDefault="3BA4C00A" w:rsidP="42D67DD0">
      <w:pPr>
        <w:pStyle w:val="ListParagraph"/>
        <w:numPr>
          <w:ilvl w:val="0"/>
          <w:numId w:val="2"/>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length of a suspension or for an exclusion the fact that it is permanent;  </w:t>
      </w:r>
    </w:p>
    <w:p w14:paraId="783220B5" w14:textId="578ADEEF" w:rsidR="3BA4C00A" w:rsidRDefault="3BA4C00A" w:rsidP="42D67DD0">
      <w:pPr>
        <w:pStyle w:val="ListParagraph"/>
        <w:numPr>
          <w:ilvl w:val="0"/>
          <w:numId w:val="2"/>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parents’/carers’ right to make representations to the Suspensions and Permanent Exclusions Committee and how the pupil may be involved in this;  </w:t>
      </w:r>
    </w:p>
    <w:p w14:paraId="226FC3DC" w14:textId="2857F75A" w:rsidR="3BA4C00A" w:rsidRDefault="3BA4C00A" w:rsidP="42D67DD0">
      <w:pPr>
        <w:pStyle w:val="ListParagraph"/>
        <w:numPr>
          <w:ilvl w:val="0"/>
          <w:numId w:val="2"/>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how any representations should be made </w:t>
      </w:r>
      <w:proofErr w:type="gramStart"/>
      <w:r w:rsidRPr="42D67DD0">
        <w:rPr>
          <w:rFonts w:ascii="Calibri Light" w:eastAsia="Calibri Light" w:hAnsi="Calibri Light" w:cs="Calibri Light"/>
          <w:sz w:val="24"/>
          <w:szCs w:val="24"/>
        </w:rPr>
        <w:t>and</w:t>
      </w:r>
      <w:proofErr w:type="gramEnd"/>
      <w:r w:rsidRPr="42D67DD0">
        <w:rPr>
          <w:rFonts w:ascii="Calibri Light" w:eastAsia="Calibri Light" w:hAnsi="Calibri Light" w:cs="Calibri Light"/>
          <w:sz w:val="24"/>
          <w:szCs w:val="24"/>
        </w:rPr>
        <w:t xml:space="preserve">  </w:t>
      </w:r>
    </w:p>
    <w:p w14:paraId="0F14B062" w14:textId="2BC9043C" w:rsidR="3BA4C00A" w:rsidRDefault="3BA4C00A" w:rsidP="42D67DD0">
      <w:pPr>
        <w:pStyle w:val="ListParagraph"/>
        <w:numPr>
          <w:ilvl w:val="0"/>
          <w:numId w:val="2"/>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where there is a legal requirement for the governing board to consider a suspension or permanent exclusion, that parents/carers have a right to attend a meeting, and, where requested, may bring a friend or representative. </w:t>
      </w:r>
    </w:p>
    <w:p w14:paraId="1BE97B91" w14:textId="0884E66C"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The </w:t>
      </w:r>
      <w:bookmarkStart w:id="8" w:name="_Int_1t1NWfqG"/>
      <w:r w:rsidR="48E7E5DA" w:rsidRPr="42D67DD0">
        <w:rPr>
          <w:rFonts w:ascii="Calibri Light" w:eastAsia="Calibri Light" w:hAnsi="Calibri Light" w:cs="Calibri Light"/>
          <w:sz w:val="24"/>
          <w:szCs w:val="24"/>
        </w:rPr>
        <w:t>Principal</w:t>
      </w:r>
      <w:bookmarkEnd w:id="8"/>
      <w:r w:rsidRPr="42D67DD0">
        <w:rPr>
          <w:rFonts w:ascii="Calibri Light" w:eastAsia="Calibri Light" w:hAnsi="Calibri Light" w:cs="Calibri Light"/>
          <w:sz w:val="24"/>
          <w:szCs w:val="24"/>
        </w:rPr>
        <w:t xml:space="preserve"> will also notify the Suspensions &amp; Permanent Exclusions Committee and the appropriate local authority of:</w:t>
      </w:r>
    </w:p>
    <w:p w14:paraId="755F49D5" w14:textId="203F7E04" w:rsidR="3BA4C00A" w:rsidRDefault="3BA4C00A" w:rsidP="42D67DD0">
      <w:pPr>
        <w:pStyle w:val="ListParagraph"/>
        <w:numPr>
          <w:ilvl w:val="0"/>
          <w:numId w:val="1"/>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a permanent exclusion; </w:t>
      </w:r>
    </w:p>
    <w:p w14:paraId="2A3CDB66" w14:textId="5FCE1D34" w:rsidR="3BA4C00A" w:rsidRDefault="3BA4C00A" w:rsidP="42D67DD0">
      <w:pPr>
        <w:pStyle w:val="ListParagraph"/>
        <w:numPr>
          <w:ilvl w:val="0"/>
          <w:numId w:val="1"/>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suspensions which would result in the </w:t>
      </w:r>
      <w:r w:rsidR="74DD3A01"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being suspended for more than five schooldays in a term and </w:t>
      </w:r>
    </w:p>
    <w:p w14:paraId="1CFC41D4" w14:textId="21F83C5B" w:rsidR="3BA4C00A" w:rsidRDefault="3BA4C00A" w:rsidP="42D67DD0">
      <w:pPr>
        <w:pStyle w:val="ListParagraph"/>
        <w:numPr>
          <w:ilvl w:val="0"/>
          <w:numId w:val="1"/>
        </w:num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exclusions which would result in the </w:t>
      </w:r>
      <w:r w:rsidR="13D5C5B2"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missing a public examination</w:t>
      </w:r>
      <w:r w:rsidR="76FCBDC6" w:rsidRPr="42D67DD0">
        <w:rPr>
          <w:rFonts w:ascii="Calibri Light" w:eastAsia="Calibri Light" w:hAnsi="Calibri Light" w:cs="Calibri Light"/>
          <w:sz w:val="24"/>
          <w:szCs w:val="24"/>
        </w:rPr>
        <w:t xml:space="preserve">. </w:t>
      </w:r>
    </w:p>
    <w:p w14:paraId="01C6450E" w14:textId="392EF4C7"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For suspensions of five days or less, the </w:t>
      </w:r>
      <w:bookmarkStart w:id="9" w:name="_Int_9vYIb8vz"/>
      <w:r w:rsidR="3FCB19D9" w:rsidRPr="42D67DD0">
        <w:rPr>
          <w:rFonts w:ascii="Calibri Light" w:eastAsia="Calibri Light" w:hAnsi="Calibri Light" w:cs="Calibri Light"/>
          <w:sz w:val="24"/>
          <w:szCs w:val="24"/>
        </w:rPr>
        <w:t>Principal</w:t>
      </w:r>
      <w:bookmarkEnd w:id="9"/>
      <w:r w:rsidRPr="42D67DD0">
        <w:rPr>
          <w:rFonts w:ascii="Calibri Light" w:eastAsia="Calibri Light" w:hAnsi="Calibri Light" w:cs="Calibri Light"/>
          <w:sz w:val="24"/>
          <w:szCs w:val="24"/>
        </w:rPr>
        <w:t xml:space="preserve"> will notify the governing board’s Curriculum Committee once a term and will also notify the appropriate local authority</w:t>
      </w:r>
      <w:r w:rsidR="4631B03D" w:rsidRPr="42D67DD0">
        <w:rPr>
          <w:rFonts w:ascii="Calibri Light" w:eastAsia="Calibri Light" w:hAnsi="Calibri Light" w:cs="Calibri Light"/>
          <w:sz w:val="24"/>
          <w:szCs w:val="24"/>
        </w:rPr>
        <w:t xml:space="preserve">. </w:t>
      </w:r>
    </w:p>
    <w:p w14:paraId="04B41D80" w14:textId="605629C1"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For a permanent exclusion, if the </w:t>
      </w:r>
      <w:r w:rsidR="415AE58F"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lives outside the local authority in which the school is located, the </w:t>
      </w:r>
      <w:bookmarkStart w:id="10" w:name="_Int_0QJXMZ4t"/>
      <w:r w:rsidR="65C89BB6" w:rsidRPr="42D67DD0">
        <w:rPr>
          <w:rFonts w:ascii="Calibri Light" w:eastAsia="Calibri Light" w:hAnsi="Calibri Light" w:cs="Calibri Light"/>
          <w:sz w:val="24"/>
          <w:szCs w:val="24"/>
        </w:rPr>
        <w:t>Principal</w:t>
      </w:r>
      <w:bookmarkEnd w:id="10"/>
      <w:r w:rsidRPr="42D67DD0">
        <w:rPr>
          <w:rFonts w:ascii="Calibri Light" w:eastAsia="Calibri Light" w:hAnsi="Calibri Light" w:cs="Calibri Light"/>
          <w:sz w:val="24"/>
          <w:szCs w:val="24"/>
        </w:rPr>
        <w:t xml:space="preserve"> will also advise the </w:t>
      </w:r>
      <w:r w:rsidR="266CE7FF" w:rsidRPr="42D67DD0">
        <w:rPr>
          <w:rFonts w:ascii="Calibri Light" w:eastAsia="Calibri Light" w:hAnsi="Calibri Light" w:cs="Calibri Light"/>
          <w:sz w:val="24"/>
          <w:szCs w:val="24"/>
        </w:rPr>
        <w:t>students</w:t>
      </w:r>
      <w:r w:rsidRPr="42D67DD0">
        <w:rPr>
          <w:rFonts w:ascii="Calibri Light" w:eastAsia="Calibri Light" w:hAnsi="Calibri Light" w:cs="Calibri Light"/>
          <w:sz w:val="24"/>
          <w:szCs w:val="24"/>
        </w:rPr>
        <w:t xml:space="preserve"> ‘home authority’ of the exclusion without delay. </w:t>
      </w:r>
    </w:p>
    <w:p w14:paraId="032E0853" w14:textId="1FE4B3E4" w:rsidR="008447AB" w:rsidRDefault="008447AB" w:rsidP="008447AB">
      <w:pPr>
        <w:spacing w:after="300"/>
        <w:rPr>
          <w:rFonts w:ascii="Calibri Light" w:eastAsia="Calibri Light" w:hAnsi="Calibri Light" w:cs="Calibri Light"/>
          <w:b/>
          <w:bCs/>
          <w:sz w:val="24"/>
          <w:szCs w:val="24"/>
        </w:rPr>
      </w:pPr>
      <w:r>
        <w:rPr>
          <w:rFonts w:ascii="Calibri Light" w:eastAsia="Calibri Light" w:hAnsi="Calibri Light" w:cs="Calibri Light"/>
          <w:b/>
          <w:bCs/>
          <w:sz w:val="24"/>
          <w:szCs w:val="24"/>
        </w:rPr>
        <w:t>Cancelling exclusions</w:t>
      </w:r>
    </w:p>
    <w:p w14:paraId="648CA8A1" w14:textId="2B87B532" w:rsidR="008447AB" w:rsidRDefault="008447AB" w:rsidP="008447AB">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The </w:t>
      </w:r>
      <w:proofErr w:type="spellStart"/>
      <w:r>
        <w:rPr>
          <w:rFonts w:ascii="Calibri Light" w:eastAsia="Calibri Light" w:hAnsi="Calibri Light" w:cs="Calibri Light"/>
          <w:sz w:val="24"/>
          <w:szCs w:val="24"/>
        </w:rPr>
        <w:t>headteacher</w:t>
      </w:r>
      <w:proofErr w:type="spellEnd"/>
      <w:r>
        <w:rPr>
          <w:rFonts w:ascii="Calibri Light" w:eastAsia="Calibri Light" w:hAnsi="Calibri Light" w:cs="Calibri Light"/>
          <w:sz w:val="24"/>
          <w:szCs w:val="24"/>
        </w:rPr>
        <w:t xml:space="preserve"> can cancel any exclusion that has already begun (or one that has not yet begun), but this can only happen when the governing board has not yet met to consider whether the pupil should be reinstated.</w:t>
      </w:r>
    </w:p>
    <w:p w14:paraId="103F1782" w14:textId="345BE9D5" w:rsidR="00605A80" w:rsidRDefault="00605A80" w:rsidP="00605A80">
      <w:pPr>
        <w:pStyle w:val="ListParagraph"/>
        <w:numPr>
          <w:ilvl w:val="0"/>
          <w:numId w:val="4"/>
        </w:num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lastRenderedPageBreak/>
        <w:t xml:space="preserve">The </w:t>
      </w:r>
      <w:proofErr w:type="spellStart"/>
      <w:r>
        <w:rPr>
          <w:rFonts w:ascii="Calibri Light" w:eastAsia="Calibri Light" w:hAnsi="Calibri Light" w:cs="Calibri Light"/>
          <w:sz w:val="24"/>
          <w:szCs w:val="24"/>
        </w:rPr>
        <w:t>headteacher</w:t>
      </w:r>
      <w:proofErr w:type="spellEnd"/>
      <w:r>
        <w:rPr>
          <w:rFonts w:ascii="Calibri Light" w:eastAsia="Calibri Light" w:hAnsi="Calibri Light" w:cs="Calibri Light"/>
          <w:sz w:val="24"/>
          <w:szCs w:val="24"/>
        </w:rPr>
        <w:t xml:space="preserve"> must notify the parents, the governing board, the LA and the pupils social worker and VSH as applicable without delay. The notification must also provide the reason for the cancellation.</w:t>
      </w:r>
    </w:p>
    <w:p w14:paraId="7D4A8F0A" w14:textId="3EEBDB87" w:rsidR="00605A80" w:rsidRDefault="00605A80" w:rsidP="00605A80">
      <w:pPr>
        <w:pStyle w:val="ListParagraph"/>
        <w:numPr>
          <w:ilvl w:val="0"/>
          <w:numId w:val="4"/>
        </w:num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The governing boards duty to consider reinstatement ceases, and there is no requirement to hold a meeting to consider reinstatement.</w:t>
      </w:r>
    </w:p>
    <w:p w14:paraId="79518FB9" w14:textId="5388A0FE" w:rsidR="00605A80" w:rsidRDefault="00605A80" w:rsidP="00605A80">
      <w:pPr>
        <w:pStyle w:val="ListParagraph"/>
        <w:numPr>
          <w:ilvl w:val="0"/>
          <w:numId w:val="4"/>
        </w:num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Parents (or the excluded pupil if they are 18 years or older) should be offered the opportunity to meet the </w:t>
      </w:r>
      <w:proofErr w:type="spellStart"/>
      <w:r>
        <w:rPr>
          <w:rFonts w:ascii="Calibri Light" w:eastAsia="Calibri Light" w:hAnsi="Calibri Light" w:cs="Calibri Light"/>
          <w:sz w:val="24"/>
          <w:szCs w:val="24"/>
        </w:rPr>
        <w:t>headteacher</w:t>
      </w:r>
      <w:proofErr w:type="spellEnd"/>
      <w:r>
        <w:rPr>
          <w:rFonts w:ascii="Calibri Light" w:eastAsia="Calibri Light" w:hAnsi="Calibri Light" w:cs="Calibri Light"/>
          <w:sz w:val="24"/>
          <w:szCs w:val="24"/>
        </w:rPr>
        <w:t xml:space="preserve"> to discuss the circumstances that led to the exclusion being cancelled which should be arranged without delay</w:t>
      </w:r>
    </w:p>
    <w:p w14:paraId="19F9C29C" w14:textId="6E191782" w:rsidR="00605A80" w:rsidRDefault="00605A80" w:rsidP="00605A80">
      <w:pPr>
        <w:pStyle w:val="ListParagraph"/>
        <w:numPr>
          <w:ilvl w:val="0"/>
          <w:numId w:val="4"/>
        </w:num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The pupil must be allowed back into school from which they were excluded without delay</w:t>
      </w:r>
    </w:p>
    <w:p w14:paraId="53A7D095" w14:textId="3E7A1305" w:rsidR="00605A80" w:rsidRPr="00605A80" w:rsidRDefault="00605A80" w:rsidP="00605A80">
      <w:pPr>
        <w:pStyle w:val="ListParagraph"/>
        <w:numPr>
          <w:ilvl w:val="0"/>
          <w:numId w:val="4"/>
        </w:num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Any days spent out of school as a result of any exclusion, prior to the cancellation will count towards the maximum of 45 school days permitted in any school year.</w:t>
      </w:r>
    </w:p>
    <w:p w14:paraId="71EDE251" w14:textId="51AE3582" w:rsidR="008447AB" w:rsidRDefault="008447AB" w:rsidP="008447AB">
      <w:pPr>
        <w:spacing w:after="300"/>
        <w:jc w:val="both"/>
        <w:rPr>
          <w:rFonts w:ascii="Calibri Light" w:eastAsia="Calibri Light" w:hAnsi="Calibri Light" w:cs="Calibri Light"/>
          <w:sz w:val="24"/>
          <w:szCs w:val="24"/>
        </w:rPr>
      </w:pPr>
      <w:r>
        <w:rPr>
          <w:rFonts w:ascii="Calibri Light" w:eastAsia="Calibri Light" w:hAnsi="Calibri Light" w:cs="Calibri Light"/>
          <w:sz w:val="24"/>
          <w:szCs w:val="24"/>
        </w:rPr>
        <w:t>A permanent exclusion cannot be cancelled if the pupil has already been excluded for more than 45 days in a school year or if they will have been so by the time the cancellation takes effect.</w:t>
      </w:r>
    </w:p>
    <w:p w14:paraId="30AE50B1" w14:textId="316470BD" w:rsidR="3BA4C00A" w:rsidRDefault="3BA4C00A" w:rsidP="42D67DD0">
      <w:pPr>
        <w:spacing w:after="300"/>
        <w:rPr>
          <w:rFonts w:ascii="Calibri Light" w:eastAsia="Calibri Light" w:hAnsi="Calibri Light" w:cs="Calibri Light"/>
          <w:sz w:val="24"/>
          <w:szCs w:val="24"/>
        </w:rPr>
      </w:pPr>
      <w:r w:rsidRPr="42D67DD0">
        <w:rPr>
          <w:rFonts w:ascii="Calibri Light" w:eastAsia="Calibri Light" w:hAnsi="Calibri Light" w:cs="Calibri Light"/>
          <w:b/>
          <w:bCs/>
          <w:sz w:val="24"/>
          <w:szCs w:val="24"/>
        </w:rPr>
        <w:t xml:space="preserve">Requesting a review of the Suspension &amp; Permanent Exclusion Committee’s decision </w:t>
      </w:r>
      <w:r w:rsidRPr="42D67DD0">
        <w:rPr>
          <w:rFonts w:ascii="Calibri Light" w:eastAsia="Calibri Light" w:hAnsi="Calibri Light" w:cs="Calibri Light"/>
          <w:sz w:val="24"/>
          <w:szCs w:val="24"/>
        </w:rPr>
        <w:t xml:space="preserve"> </w:t>
      </w:r>
    </w:p>
    <w:p w14:paraId="0ECAC685" w14:textId="2DAB2E80" w:rsidR="3BA4C00A" w:rsidRDefault="3BA4C00A" w:rsidP="42D67DD0">
      <w:pPr>
        <w:spacing w:after="300"/>
        <w:jc w:val="both"/>
        <w:rPr>
          <w:rFonts w:ascii="Calibri Light" w:eastAsia="Calibri Light" w:hAnsi="Calibri Light" w:cs="Calibri Light"/>
          <w:sz w:val="24"/>
          <w:szCs w:val="24"/>
        </w:rPr>
      </w:pPr>
      <w:r w:rsidRPr="42D67DD0">
        <w:rPr>
          <w:rFonts w:ascii="Calibri Light" w:eastAsia="Calibri Light" w:hAnsi="Calibri Light" w:cs="Calibri Light"/>
          <w:sz w:val="24"/>
          <w:szCs w:val="24"/>
        </w:rPr>
        <w:t xml:space="preserve">Where parents/carers (or the excluded </w:t>
      </w:r>
      <w:r w:rsidR="68074E75"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if aged 18 or over) dispute the decision of the Suspensions &amp; Permanent Exclusions Committee not to reinstate a permanently excluded </w:t>
      </w:r>
      <w:r w:rsidR="258422D6" w:rsidRPr="42D67DD0">
        <w:rPr>
          <w:rFonts w:ascii="Calibri Light" w:eastAsia="Calibri Light" w:hAnsi="Calibri Light" w:cs="Calibri Light"/>
          <w:sz w:val="24"/>
          <w:szCs w:val="24"/>
        </w:rPr>
        <w:t>student</w:t>
      </w:r>
      <w:r w:rsidRPr="42D67DD0">
        <w:rPr>
          <w:rFonts w:ascii="Calibri Light" w:eastAsia="Calibri Light" w:hAnsi="Calibri Light" w:cs="Calibri Light"/>
          <w:sz w:val="24"/>
          <w:szCs w:val="24"/>
        </w:rPr>
        <w:t xml:space="preserve">, they can ask for this decision to be reviewed by an Independent Review Panel. The Independent Review Panel does not have the power to direct the governing board to reinstate an excluded </w:t>
      </w:r>
      <w:r w:rsidR="68EFC8F6" w:rsidRPr="42D67DD0">
        <w:rPr>
          <w:rFonts w:ascii="Calibri Light" w:eastAsia="Calibri Light" w:hAnsi="Calibri Light" w:cs="Calibri Light"/>
          <w:sz w:val="24"/>
          <w:szCs w:val="24"/>
        </w:rPr>
        <w:t>student</w:t>
      </w:r>
      <w:r w:rsidR="50ABABE9" w:rsidRPr="42D67DD0">
        <w:rPr>
          <w:rFonts w:ascii="Calibri Light" w:eastAsia="Calibri Light" w:hAnsi="Calibri Light" w:cs="Calibri Light"/>
          <w:sz w:val="24"/>
          <w:szCs w:val="24"/>
        </w:rPr>
        <w:t>. Ho</w:t>
      </w:r>
      <w:r w:rsidRPr="42D67DD0">
        <w:rPr>
          <w:rFonts w:ascii="Calibri Light" w:eastAsia="Calibri Light" w:hAnsi="Calibri Light" w:cs="Calibri Light"/>
          <w:sz w:val="24"/>
          <w:szCs w:val="24"/>
        </w:rPr>
        <w:t>wever, it can direct the governing board to reconsider its decision</w:t>
      </w:r>
      <w:r w:rsidR="652F5343" w:rsidRPr="42D67DD0">
        <w:rPr>
          <w:rFonts w:ascii="Calibri Light" w:eastAsia="Calibri Light" w:hAnsi="Calibri Light" w:cs="Calibri Light"/>
          <w:sz w:val="24"/>
          <w:szCs w:val="24"/>
        </w:rPr>
        <w:t xml:space="preserve">. </w:t>
      </w:r>
    </w:p>
    <w:p w14:paraId="58322EBB" w14:textId="65F04AE4" w:rsidR="3BA4C00A" w:rsidRDefault="3BA4C00A" w:rsidP="42D67DD0">
      <w:pPr>
        <w:spacing w:after="300"/>
        <w:jc w:val="both"/>
        <w:rPr>
          <w:rFonts w:ascii="Calibri Light" w:eastAsia="Calibri Light" w:hAnsi="Calibri Light" w:cs="Calibri Light"/>
          <w:i/>
          <w:iCs/>
          <w:sz w:val="24"/>
          <w:szCs w:val="24"/>
        </w:rPr>
      </w:pPr>
      <w:r w:rsidRPr="42D67DD0">
        <w:rPr>
          <w:rFonts w:ascii="Calibri Light" w:eastAsia="Calibri Light" w:hAnsi="Calibri Light" w:cs="Calibri Light"/>
          <w:i/>
          <w:iCs/>
          <w:sz w:val="24"/>
          <w:szCs w:val="24"/>
        </w:rPr>
        <w:t xml:space="preserve">This policy has been drawn up in accordance with the </w:t>
      </w:r>
      <w:proofErr w:type="spellStart"/>
      <w:r w:rsidRPr="42D67DD0">
        <w:rPr>
          <w:rFonts w:ascii="Calibri Light" w:eastAsia="Calibri Light" w:hAnsi="Calibri Light" w:cs="Calibri Light"/>
          <w:i/>
          <w:iCs/>
          <w:sz w:val="24"/>
          <w:szCs w:val="24"/>
        </w:rPr>
        <w:t>DfE</w:t>
      </w:r>
      <w:proofErr w:type="spellEnd"/>
      <w:r w:rsidRPr="42D67DD0">
        <w:rPr>
          <w:rFonts w:ascii="Calibri Light" w:eastAsia="Calibri Light" w:hAnsi="Calibri Light" w:cs="Calibri Light"/>
          <w:i/>
          <w:iCs/>
          <w:sz w:val="24"/>
          <w:szCs w:val="24"/>
        </w:rPr>
        <w:t xml:space="preserve"> statutory guidance on Suspension and Permanent Exclusion from maintained schools, academies and pupil referral units in England</w:t>
      </w:r>
      <w:r w:rsidR="00245FAC">
        <w:rPr>
          <w:rFonts w:ascii="Calibri Light" w:eastAsia="Calibri Light" w:hAnsi="Calibri Light" w:cs="Calibri Light"/>
          <w:i/>
          <w:iCs/>
          <w:sz w:val="24"/>
          <w:szCs w:val="24"/>
        </w:rPr>
        <w:t>, including pupil movement</w:t>
      </w:r>
      <w:r w:rsidRPr="42D67DD0">
        <w:rPr>
          <w:rFonts w:ascii="Calibri Light" w:eastAsia="Calibri Light" w:hAnsi="Calibri Light" w:cs="Calibri Light"/>
          <w:i/>
          <w:iCs/>
          <w:sz w:val="24"/>
          <w:szCs w:val="24"/>
        </w:rPr>
        <w:t xml:space="preserve"> issued in </w:t>
      </w:r>
      <w:r w:rsidR="00245FAC">
        <w:rPr>
          <w:rFonts w:ascii="Calibri Light" w:eastAsia="Calibri Light" w:hAnsi="Calibri Light" w:cs="Calibri Light"/>
          <w:i/>
          <w:iCs/>
          <w:sz w:val="24"/>
          <w:szCs w:val="24"/>
        </w:rPr>
        <w:t>August 2024</w:t>
      </w:r>
      <w:r w:rsidRPr="42D67DD0">
        <w:rPr>
          <w:rFonts w:ascii="Calibri Light" w:eastAsia="Calibri Light" w:hAnsi="Calibri Light" w:cs="Calibri Light"/>
          <w:i/>
          <w:iCs/>
          <w:sz w:val="24"/>
          <w:szCs w:val="24"/>
        </w:rPr>
        <w:t>.</w:t>
      </w:r>
    </w:p>
    <w:p w14:paraId="58338804" w14:textId="77777777" w:rsidR="009A2960" w:rsidRPr="00D26C4B" w:rsidRDefault="009A2960" w:rsidP="009A2960">
      <w:pPr>
        <w:spacing w:after="300"/>
        <w:rPr>
          <w:rFonts w:ascii="Calibri Light" w:eastAsia="Calibri Light" w:hAnsi="Calibri Light" w:cs="Calibri Light"/>
          <w:b/>
          <w:sz w:val="24"/>
          <w:szCs w:val="24"/>
        </w:rPr>
      </w:pPr>
      <w:r>
        <w:rPr>
          <w:rFonts w:ascii="Calibri Light" w:eastAsia="Calibri Light" w:hAnsi="Calibri Light" w:cs="Calibri Light"/>
          <w:b/>
          <w:bCs/>
          <w:sz w:val="24"/>
          <w:szCs w:val="24"/>
        </w:rPr>
        <w:t>Impartial G</w:t>
      </w:r>
      <w:r w:rsidRPr="00D26C4B">
        <w:rPr>
          <w:rFonts w:ascii="Calibri Light" w:eastAsia="Calibri Light" w:hAnsi="Calibri Light" w:cs="Calibri Light"/>
          <w:b/>
          <w:sz w:val="24"/>
          <w:szCs w:val="24"/>
        </w:rPr>
        <w:t>uidance</w:t>
      </w:r>
    </w:p>
    <w:p w14:paraId="4BF5F837" w14:textId="77777777" w:rsidR="009A2960" w:rsidRDefault="009A2960" w:rsidP="009A2960">
      <w:pPr>
        <w:spacing w:after="300"/>
        <w:jc w:val="both"/>
        <w:rPr>
          <w:rFonts w:ascii="Calibri Light" w:eastAsia="Calibri Light" w:hAnsi="Calibri Light" w:cs="Calibri Light"/>
          <w:sz w:val="24"/>
          <w:szCs w:val="24"/>
        </w:rPr>
      </w:pPr>
      <w:hyperlink r:id="rId8" w:history="1">
        <w:r w:rsidRPr="00607FC0">
          <w:rPr>
            <w:rStyle w:val="Hyperlink"/>
            <w:rFonts w:ascii="Calibri Light" w:eastAsia="Calibri Light" w:hAnsi="Calibri Light" w:cs="Calibri Light"/>
            <w:sz w:val="24"/>
            <w:szCs w:val="24"/>
          </w:rPr>
          <w:t>https://www.gov.uk/government/publications/school-exclusions-guide-for-parents/a-guide-for-parents-on-school-behaviour-and-exclusion</w:t>
        </w:r>
      </w:hyperlink>
    </w:p>
    <w:p w14:paraId="36402C00" w14:textId="77777777" w:rsidR="009A2960" w:rsidRDefault="009A2960" w:rsidP="009A2960">
      <w:pPr>
        <w:spacing w:after="300"/>
        <w:jc w:val="both"/>
        <w:rPr>
          <w:rFonts w:ascii="Calibri Light" w:eastAsia="Calibri Light" w:hAnsi="Calibri Light" w:cs="Calibri Light"/>
          <w:sz w:val="24"/>
          <w:szCs w:val="24"/>
        </w:rPr>
      </w:pPr>
      <w:hyperlink r:id="rId9" w:history="1">
        <w:r w:rsidRPr="00607FC0">
          <w:rPr>
            <w:rStyle w:val="Hyperlink"/>
            <w:rFonts w:ascii="Calibri Light" w:eastAsia="Calibri Light" w:hAnsi="Calibri Light" w:cs="Calibri Light"/>
            <w:sz w:val="24"/>
            <w:szCs w:val="24"/>
          </w:rPr>
          <w:t>https://childlawadvice.org.uk/information-pages/school-exclusion/</w:t>
        </w:r>
      </w:hyperlink>
    </w:p>
    <w:p w14:paraId="4E75F3A1" w14:textId="56E4C38E" w:rsidR="009A2960" w:rsidRDefault="009A2960" w:rsidP="42D67DD0">
      <w:pPr>
        <w:spacing w:after="300"/>
        <w:jc w:val="both"/>
        <w:rPr>
          <w:rFonts w:ascii="Calibri Light" w:eastAsia="Calibri Light" w:hAnsi="Calibri Light" w:cs="Calibri Light"/>
          <w:i/>
          <w:iCs/>
          <w:sz w:val="24"/>
          <w:szCs w:val="24"/>
        </w:rPr>
      </w:pPr>
    </w:p>
    <w:p w14:paraId="212F0A56" w14:textId="24AC405D" w:rsidR="009A2960" w:rsidRDefault="009A2960" w:rsidP="42D67DD0">
      <w:pPr>
        <w:spacing w:after="300"/>
        <w:jc w:val="both"/>
        <w:rPr>
          <w:rFonts w:ascii="Calibri Light" w:eastAsia="Calibri Light" w:hAnsi="Calibri Light" w:cs="Calibri Light"/>
          <w:i/>
          <w:iCs/>
          <w:sz w:val="24"/>
          <w:szCs w:val="24"/>
        </w:rPr>
      </w:pPr>
    </w:p>
    <w:p w14:paraId="7F2DEF52" w14:textId="20431E31" w:rsidR="009A2960" w:rsidRDefault="009A2960" w:rsidP="42D67DD0">
      <w:pPr>
        <w:spacing w:after="300"/>
        <w:jc w:val="both"/>
        <w:rPr>
          <w:rFonts w:ascii="Calibri Light" w:eastAsia="Calibri Light" w:hAnsi="Calibri Light" w:cs="Calibri Light"/>
          <w:i/>
          <w:iCs/>
          <w:sz w:val="24"/>
          <w:szCs w:val="24"/>
        </w:rPr>
      </w:pPr>
    </w:p>
    <w:p w14:paraId="49EA0BF3" w14:textId="32D9546D" w:rsidR="009A2960" w:rsidRDefault="009A2960" w:rsidP="42D67DD0">
      <w:pPr>
        <w:spacing w:after="300"/>
        <w:jc w:val="both"/>
        <w:rPr>
          <w:rFonts w:ascii="Calibri Light" w:eastAsia="Calibri Light" w:hAnsi="Calibri Light" w:cs="Calibri Light"/>
          <w:i/>
          <w:iCs/>
          <w:sz w:val="24"/>
          <w:szCs w:val="24"/>
        </w:rPr>
      </w:pPr>
    </w:p>
    <w:p w14:paraId="5688A9B2" w14:textId="53E2F22C" w:rsidR="009A2960" w:rsidRDefault="009A2960" w:rsidP="42D67DD0">
      <w:pPr>
        <w:spacing w:after="300"/>
        <w:jc w:val="both"/>
        <w:rPr>
          <w:rFonts w:ascii="Calibri Light" w:eastAsia="Calibri Light" w:hAnsi="Calibri Light" w:cs="Calibri Light"/>
          <w:i/>
          <w:iCs/>
          <w:sz w:val="24"/>
          <w:szCs w:val="24"/>
        </w:rPr>
      </w:pPr>
    </w:p>
    <w:p w14:paraId="44715A06" w14:textId="4B97826D" w:rsidR="009A2960" w:rsidRDefault="009A2960" w:rsidP="42D67DD0">
      <w:pPr>
        <w:spacing w:after="300"/>
        <w:jc w:val="both"/>
        <w:rPr>
          <w:rFonts w:ascii="Calibri Light" w:eastAsia="Calibri Light" w:hAnsi="Calibri Light" w:cs="Calibri Light"/>
          <w:i/>
          <w:iCs/>
          <w:sz w:val="24"/>
          <w:szCs w:val="24"/>
        </w:rPr>
      </w:pPr>
    </w:p>
    <w:p w14:paraId="0E737F2B" w14:textId="7FE259DA" w:rsidR="009A2960" w:rsidRDefault="009A2960" w:rsidP="42D67DD0">
      <w:pPr>
        <w:spacing w:after="300"/>
        <w:jc w:val="both"/>
        <w:rPr>
          <w:rFonts w:ascii="Calibri Light" w:eastAsia="Calibri Light" w:hAnsi="Calibri Light" w:cs="Calibri Light"/>
          <w:i/>
          <w:iCs/>
          <w:sz w:val="24"/>
          <w:szCs w:val="24"/>
        </w:rPr>
      </w:pPr>
    </w:p>
    <w:p w14:paraId="299DFA1B" w14:textId="77777777" w:rsidR="009A2960" w:rsidRDefault="009A2960" w:rsidP="42D67DD0">
      <w:pPr>
        <w:spacing w:after="300"/>
        <w:jc w:val="both"/>
        <w:rPr>
          <w:rFonts w:ascii="Calibri Light" w:eastAsia="Calibri Light" w:hAnsi="Calibri Light" w:cs="Calibri Light"/>
          <w:i/>
          <w:iCs/>
          <w:sz w:val="24"/>
          <w:szCs w:val="24"/>
        </w:rPr>
      </w:pPr>
    </w:p>
    <w:tbl>
      <w:tblPr>
        <w:tblStyle w:val="TableGrid1"/>
        <w:tblW w:w="0" w:type="auto"/>
        <w:tblLook w:val="04A0" w:firstRow="1" w:lastRow="0" w:firstColumn="1" w:lastColumn="0" w:noHBand="0" w:noVBand="1"/>
      </w:tblPr>
      <w:tblGrid>
        <w:gridCol w:w="4604"/>
        <w:gridCol w:w="4605"/>
      </w:tblGrid>
      <w:tr w:rsidR="009A2960" w:rsidRPr="009A2960" w14:paraId="6FCFBE2D" w14:textId="77777777" w:rsidTr="00D0747F">
        <w:tc>
          <w:tcPr>
            <w:tcW w:w="4604" w:type="dxa"/>
          </w:tcPr>
          <w:p w14:paraId="3FE16C2A" w14:textId="674F643B" w:rsidR="009A2960" w:rsidRPr="009A2960" w:rsidRDefault="009A2960" w:rsidP="009A2960">
            <w:pPr>
              <w:rPr>
                <w:rFonts w:ascii="Tahoma" w:eastAsia="Times New Roman" w:hAnsi="Tahoma" w:cs="Tahoma"/>
                <w:lang w:eastAsia="en-GB"/>
              </w:rPr>
            </w:pPr>
            <w:r>
              <w:rPr>
                <w:rFonts w:ascii="Tahoma" w:eastAsia="Times New Roman" w:hAnsi="Tahoma" w:cs="Tahoma"/>
                <w:lang w:eastAsia="en-GB"/>
              </w:rPr>
              <w:lastRenderedPageBreak/>
              <w:t>E</w:t>
            </w:r>
            <w:r w:rsidRPr="009A2960">
              <w:rPr>
                <w:rFonts w:ascii="Tahoma" w:eastAsia="Times New Roman" w:hAnsi="Tahoma" w:cs="Tahoma"/>
                <w:lang w:eastAsia="en-GB"/>
              </w:rPr>
              <w:t>lectronic Approval</w:t>
            </w:r>
            <w:r>
              <w:rPr>
                <w:rFonts w:ascii="Tahoma" w:eastAsia="Times New Roman" w:hAnsi="Tahoma" w:cs="Tahoma"/>
                <w:lang w:eastAsia="en-GB"/>
              </w:rPr>
              <w:t xml:space="preserve"> </w:t>
            </w:r>
            <w:r w:rsidRPr="009A2960">
              <w:rPr>
                <w:rFonts w:ascii="Tahoma" w:eastAsia="Times New Roman" w:hAnsi="Tahoma" w:cs="Tahoma"/>
                <w:lang w:eastAsia="en-GB"/>
              </w:rPr>
              <w:t>Full Governing Body</w:t>
            </w:r>
          </w:p>
        </w:tc>
        <w:tc>
          <w:tcPr>
            <w:tcW w:w="4605" w:type="dxa"/>
          </w:tcPr>
          <w:p w14:paraId="45FF5795" w14:textId="77777777" w:rsidR="009A2960" w:rsidRPr="009A2960" w:rsidRDefault="009A2960" w:rsidP="009A2960">
            <w:pPr>
              <w:rPr>
                <w:rFonts w:ascii="Tahoma" w:eastAsia="Times New Roman" w:hAnsi="Tahoma" w:cs="Tahoma"/>
                <w:lang w:eastAsia="en-GB"/>
              </w:rPr>
            </w:pPr>
            <w:r w:rsidRPr="009A2960">
              <w:rPr>
                <w:rFonts w:ascii="Tahoma" w:eastAsia="Times New Roman" w:hAnsi="Tahoma" w:cs="Tahoma"/>
                <w:lang w:eastAsia="en-GB"/>
              </w:rPr>
              <w:t>November 2024</w:t>
            </w:r>
          </w:p>
        </w:tc>
      </w:tr>
      <w:tr w:rsidR="009A2960" w:rsidRPr="009A2960" w14:paraId="43BE8AFD" w14:textId="77777777" w:rsidTr="00D0747F">
        <w:tc>
          <w:tcPr>
            <w:tcW w:w="4604" w:type="dxa"/>
          </w:tcPr>
          <w:p w14:paraId="0FBFB664" w14:textId="6BD0F353" w:rsidR="009A2960" w:rsidRPr="009A2960" w:rsidRDefault="009A2960" w:rsidP="009A2960">
            <w:pPr>
              <w:rPr>
                <w:rFonts w:ascii="Tahoma" w:eastAsia="Times New Roman" w:hAnsi="Tahoma" w:cs="Tahoma"/>
                <w:lang w:eastAsia="en-GB"/>
              </w:rPr>
            </w:pPr>
            <w:r>
              <w:rPr>
                <w:rFonts w:ascii="Tahoma" w:eastAsia="Times New Roman" w:hAnsi="Tahoma" w:cs="Tahoma"/>
                <w:lang w:eastAsia="en-GB"/>
              </w:rPr>
              <w:t xml:space="preserve">Date of next </w:t>
            </w:r>
            <w:r w:rsidRPr="009A2960">
              <w:rPr>
                <w:rFonts w:ascii="Tahoma" w:eastAsia="Times New Roman" w:hAnsi="Tahoma" w:cs="Tahoma"/>
                <w:lang w:eastAsia="en-GB"/>
              </w:rPr>
              <w:t>review</w:t>
            </w:r>
          </w:p>
        </w:tc>
        <w:tc>
          <w:tcPr>
            <w:tcW w:w="4605" w:type="dxa"/>
          </w:tcPr>
          <w:p w14:paraId="48C4DF7D" w14:textId="51D76A2C" w:rsidR="009A2960" w:rsidRPr="009A2960" w:rsidRDefault="009A2960" w:rsidP="009A2960">
            <w:pPr>
              <w:rPr>
                <w:rFonts w:ascii="Tahoma" w:eastAsia="Times New Roman" w:hAnsi="Tahoma" w:cs="Tahoma"/>
                <w:lang w:eastAsia="en-GB"/>
              </w:rPr>
            </w:pPr>
            <w:r>
              <w:rPr>
                <w:rFonts w:ascii="Tahoma" w:eastAsia="Times New Roman" w:hAnsi="Tahoma" w:cs="Tahoma"/>
                <w:lang w:eastAsia="en-GB"/>
              </w:rPr>
              <w:t>January</w:t>
            </w:r>
            <w:r w:rsidRPr="009A2960">
              <w:rPr>
                <w:rFonts w:ascii="Tahoma" w:eastAsia="Times New Roman" w:hAnsi="Tahoma" w:cs="Tahoma"/>
                <w:lang w:eastAsia="en-GB"/>
              </w:rPr>
              <w:t xml:space="preserve"> 2026</w:t>
            </w:r>
          </w:p>
        </w:tc>
      </w:tr>
      <w:tr w:rsidR="009A2960" w:rsidRPr="009A2960" w14:paraId="44D4C0F6" w14:textId="77777777" w:rsidTr="00D0747F">
        <w:tc>
          <w:tcPr>
            <w:tcW w:w="4604" w:type="dxa"/>
          </w:tcPr>
          <w:p w14:paraId="7FE6D7CF" w14:textId="77777777" w:rsidR="009A2960" w:rsidRPr="009A2960" w:rsidRDefault="009A2960" w:rsidP="009A2960">
            <w:pPr>
              <w:rPr>
                <w:rFonts w:ascii="Tahoma" w:eastAsia="Times New Roman" w:hAnsi="Tahoma" w:cs="Tahoma"/>
                <w:lang w:eastAsia="en-GB"/>
              </w:rPr>
            </w:pPr>
            <w:r w:rsidRPr="009A2960">
              <w:rPr>
                <w:rFonts w:ascii="Tahoma" w:eastAsia="Times New Roman" w:hAnsi="Tahoma" w:cs="Tahoma"/>
                <w:lang w:eastAsia="en-GB"/>
              </w:rPr>
              <w:t>Principal</w:t>
            </w:r>
          </w:p>
        </w:tc>
        <w:tc>
          <w:tcPr>
            <w:tcW w:w="4605" w:type="dxa"/>
          </w:tcPr>
          <w:p w14:paraId="55F2207A" w14:textId="77777777" w:rsidR="009A2960" w:rsidRPr="009A2960" w:rsidRDefault="009A2960" w:rsidP="009A2960">
            <w:pPr>
              <w:rPr>
                <w:rFonts w:ascii="Tahoma" w:eastAsia="Times New Roman" w:hAnsi="Tahoma" w:cs="Tahoma"/>
                <w:lang w:eastAsia="en-GB"/>
              </w:rPr>
            </w:pPr>
            <w:r w:rsidRPr="009A2960">
              <w:rPr>
                <w:rFonts w:ascii="Times New Roman" w:eastAsia="Times New Roman" w:hAnsi="Times New Roman" w:cs="Times New Roman"/>
                <w:noProof/>
                <w:sz w:val="24"/>
                <w:szCs w:val="24"/>
                <w:lang w:eastAsia="en-GB"/>
              </w:rPr>
              <w:drawing>
                <wp:inline distT="0" distB="0" distL="0" distR="0" wp14:anchorId="33B7DB45" wp14:editId="2F63A276">
                  <wp:extent cx="417195" cy="1381760"/>
                  <wp:effectExtent l="0" t="6032"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17389" cy="1382403"/>
                          </a:xfrm>
                          <a:prstGeom prst="rect">
                            <a:avLst/>
                          </a:prstGeom>
                          <a:noFill/>
                          <a:ln>
                            <a:noFill/>
                          </a:ln>
                        </pic:spPr>
                      </pic:pic>
                    </a:graphicData>
                  </a:graphic>
                </wp:inline>
              </w:drawing>
            </w:r>
          </w:p>
        </w:tc>
      </w:tr>
      <w:tr w:rsidR="009A2960" w:rsidRPr="009A2960" w14:paraId="250B0B29" w14:textId="77777777" w:rsidTr="00D0747F">
        <w:tc>
          <w:tcPr>
            <w:tcW w:w="4604" w:type="dxa"/>
          </w:tcPr>
          <w:p w14:paraId="30FB72A3" w14:textId="77777777" w:rsidR="009A2960" w:rsidRPr="009A2960" w:rsidRDefault="009A2960" w:rsidP="009A2960">
            <w:pPr>
              <w:rPr>
                <w:rFonts w:ascii="Tahoma" w:eastAsia="Times New Roman" w:hAnsi="Tahoma" w:cs="Tahoma"/>
                <w:lang w:eastAsia="en-GB"/>
              </w:rPr>
            </w:pPr>
            <w:r w:rsidRPr="009A2960">
              <w:rPr>
                <w:rFonts w:ascii="Tahoma" w:eastAsia="Times New Roman" w:hAnsi="Tahoma" w:cs="Tahoma"/>
                <w:lang w:eastAsia="en-GB"/>
              </w:rPr>
              <w:t>Chair</w:t>
            </w:r>
          </w:p>
        </w:tc>
        <w:tc>
          <w:tcPr>
            <w:tcW w:w="4605" w:type="dxa"/>
          </w:tcPr>
          <w:p w14:paraId="3969A5D1" w14:textId="77777777" w:rsidR="009A2960" w:rsidRPr="009A2960" w:rsidRDefault="009A2960" w:rsidP="009A2960">
            <w:pPr>
              <w:rPr>
                <w:rFonts w:ascii="Tahoma" w:eastAsia="Times New Roman" w:hAnsi="Tahoma" w:cs="Tahoma"/>
                <w:lang w:eastAsia="en-GB"/>
              </w:rPr>
            </w:pPr>
            <w:r w:rsidRPr="009A2960">
              <w:rPr>
                <w:rFonts w:ascii="Times New Roman" w:eastAsia="Times New Roman" w:hAnsi="Times New Roman" w:cs="Times New Roman"/>
                <w:noProof/>
                <w:sz w:val="32"/>
                <w:szCs w:val="32"/>
                <w:lang w:eastAsia="en-GB"/>
              </w:rPr>
              <w:drawing>
                <wp:inline distT="0" distB="0" distL="0" distR="0" wp14:anchorId="1C5C4BC8" wp14:editId="1BD3F301">
                  <wp:extent cx="15049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l="16164" t="5037" r="60393" b="84264"/>
                          <a:stretch>
                            <a:fillRect/>
                          </a:stretch>
                        </pic:blipFill>
                        <pic:spPr bwMode="auto">
                          <a:xfrm>
                            <a:off x="0" y="0"/>
                            <a:ext cx="1504950" cy="447675"/>
                          </a:xfrm>
                          <a:prstGeom prst="rect">
                            <a:avLst/>
                          </a:prstGeom>
                          <a:noFill/>
                          <a:ln>
                            <a:noFill/>
                          </a:ln>
                        </pic:spPr>
                      </pic:pic>
                    </a:graphicData>
                  </a:graphic>
                </wp:inline>
              </w:drawing>
            </w:r>
          </w:p>
        </w:tc>
      </w:tr>
    </w:tbl>
    <w:p w14:paraId="71ADBA0A" w14:textId="77777777" w:rsidR="009A2960" w:rsidRPr="00D26C4B" w:rsidRDefault="009A2960" w:rsidP="42D67DD0">
      <w:pPr>
        <w:spacing w:after="300"/>
        <w:jc w:val="both"/>
        <w:rPr>
          <w:rFonts w:ascii="Calibri Light" w:eastAsia="Calibri Light" w:hAnsi="Calibri Light" w:cs="Calibri Light"/>
          <w:sz w:val="24"/>
          <w:szCs w:val="24"/>
        </w:rPr>
      </w:pPr>
    </w:p>
    <w:p w14:paraId="45E337C2" w14:textId="3D04AE30" w:rsidR="662F8613" w:rsidRDefault="662F8613" w:rsidP="42D67DD0">
      <w:pPr>
        <w:spacing w:after="300"/>
        <w:jc w:val="both"/>
        <w:rPr>
          <w:rFonts w:asciiTheme="majorHAnsi" w:eastAsiaTheme="majorEastAsia" w:hAnsiTheme="majorHAnsi" w:cstheme="majorBidi"/>
          <w:sz w:val="24"/>
          <w:szCs w:val="24"/>
        </w:rPr>
      </w:pPr>
    </w:p>
    <w:p w14:paraId="2D29D8F2" w14:textId="088BD8EA" w:rsidR="662F8613" w:rsidRDefault="662F8613" w:rsidP="662F8613">
      <w:pPr>
        <w:spacing w:after="300"/>
        <w:rPr>
          <w:rFonts w:asciiTheme="majorHAnsi" w:eastAsiaTheme="majorEastAsia" w:hAnsiTheme="majorHAnsi" w:cstheme="majorBidi"/>
          <w:sz w:val="24"/>
          <w:szCs w:val="24"/>
        </w:rPr>
      </w:pPr>
      <w:bookmarkStart w:id="11" w:name="_GoBack"/>
      <w:bookmarkEnd w:id="11"/>
    </w:p>
    <w:sectPr w:rsidR="662F8613" w:rsidSect="006E1BA8">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FDDB" w14:textId="77777777" w:rsidR="00F434C8" w:rsidRDefault="00F434C8">
      <w:pPr>
        <w:spacing w:after="0" w:line="240" w:lineRule="auto"/>
      </w:pPr>
      <w:r>
        <w:separator/>
      </w:r>
    </w:p>
  </w:endnote>
  <w:endnote w:type="continuationSeparator" w:id="0">
    <w:p w14:paraId="1311284D" w14:textId="77777777" w:rsidR="00F434C8" w:rsidRDefault="00F4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3C437" w14:textId="77777777" w:rsidR="00F434C8" w:rsidRDefault="00F434C8">
      <w:pPr>
        <w:spacing w:after="0" w:line="240" w:lineRule="auto"/>
      </w:pPr>
      <w:r>
        <w:separator/>
      </w:r>
    </w:p>
  </w:footnote>
  <w:footnote w:type="continuationSeparator" w:id="0">
    <w:p w14:paraId="7A0A0EA6" w14:textId="77777777" w:rsidR="00F434C8" w:rsidRDefault="00F434C8">
      <w:pPr>
        <w:spacing w:after="0" w:line="240" w:lineRule="auto"/>
      </w:pPr>
      <w:r>
        <w:continuationSeparator/>
      </w:r>
    </w:p>
  </w:footnote>
  <w:footnote w:id="1">
    <w:p w14:paraId="050ADA59" w14:textId="01B31359" w:rsidR="00FF069A" w:rsidRDefault="00FF069A">
      <w:pPr>
        <w:pStyle w:val="FootnoteText"/>
      </w:pPr>
      <w:r>
        <w:rPr>
          <w:rStyle w:val="FootnoteReference"/>
        </w:rPr>
        <w:footnoteRef/>
      </w:r>
      <w:r>
        <w:t xml:space="preserve"> </w:t>
      </w:r>
      <w:proofErr w:type="spellStart"/>
      <w:r>
        <w:t>DfE</w:t>
      </w:r>
      <w:proofErr w:type="spellEnd"/>
      <w:r>
        <w:t xml:space="preserve"> Suspension and permanent exclusion from maintained schools, academies and pupil referral units in England, including pupil movement. August 2024</w:t>
      </w:r>
    </w:p>
  </w:footnote>
  <w:footnote w:id="2">
    <w:p w14:paraId="6C4C0B9D" w14:textId="289A0484" w:rsidR="003E08F5" w:rsidRDefault="003E08F5">
      <w:pPr>
        <w:pStyle w:val="FootnoteText"/>
      </w:pPr>
      <w:r>
        <w:rPr>
          <w:rStyle w:val="FootnoteReference"/>
        </w:rPr>
        <w:footnoteRef/>
      </w:r>
      <w:r>
        <w:t xml:space="preserve"> Term pupil is used by the </w:t>
      </w:r>
      <w:proofErr w:type="spellStart"/>
      <w:r>
        <w:t>DfE</w:t>
      </w:r>
      <w:proofErr w:type="spellEnd"/>
      <w:r>
        <w:t xml:space="preserve"> and adopted in this policy. Brook 6</w:t>
      </w:r>
      <w:r w:rsidRPr="003E08F5">
        <w:rPr>
          <w:vertAlign w:val="superscript"/>
        </w:rPr>
        <w:t>th</w:t>
      </w:r>
      <w:r>
        <w:t xml:space="preserve"> Form &amp; Academy usually uses the term student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3032" w14:textId="77777777" w:rsidR="006E1BA8" w:rsidRDefault="006E1BA8">
    <w:pPr>
      <w:pStyle w:val="Header"/>
    </w:pPr>
    <w:r>
      <w:rPr>
        <w:noProof/>
        <w:lang w:eastAsia="en-GB"/>
      </w:rPr>
      <w:drawing>
        <wp:anchor distT="0" distB="0" distL="114300" distR="114300" simplePos="0" relativeHeight="251659264" behindDoc="1" locked="0" layoutInCell="1" allowOverlap="1" wp14:anchorId="4293DFC2" wp14:editId="07777777">
          <wp:simplePos x="0" y="0"/>
          <wp:positionH relativeFrom="page">
            <wp:align>right</wp:align>
          </wp:positionH>
          <wp:positionV relativeFrom="paragraph">
            <wp:posOffset>-449580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xQy+KnIliT8rxm" int2:id="iwyX6gxH">
      <int2:state int2:type="AugLoop_Text_Critique" int2:value="Rejected"/>
    </int2:textHash>
    <int2:textHash int2:hashCode="gOigg3B4VG+1IR" int2:id="l92xYmZ8">
      <int2:state int2:type="AugLoop_Text_Critique" int2:value="Rejected"/>
    </int2:textHash>
    <int2:textHash int2:hashCode="OrtZNwJC/JiGrS" int2:id="vjlTCMGb">
      <int2:state int2:type="AugLoop_Text_Critique" int2:value="Rejected"/>
    </int2:textHash>
    <int2:textHash int2:hashCode="kByidkXaRxGvMx" int2:id="yQRwuqBF">
      <int2:state int2:type="AugLoop_Text_Critique" int2:value="Rejected"/>
    </int2:textHash>
    <int2:textHash int2:hashCode="EQPYH6mBwyXSZi" int2:id="nmu3GSqF">
      <int2:state int2:type="AugLoop_Text_Critique" int2:value="Rejected"/>
    </int2:textHash>
    <int2:textHash int2:hashCode="ni8UUdXdlt6RIo" int2:id="PbsFgY7e">
      <int2:state int2:type="AugLoop_Text_Critique" int2:value="Rejected"/>
    </int2:textHash>
    <int2:textHash int2:hashCode="QRzTRe2PnPjF0T" int2:id="oR9driRX">
      <int2:state int2:type="AugLoop_Text_Critique" int2:value="Rejected"/>
    </int2:textHash>
    <int2:bookmark int2:bookmarkName="_Int_1t1NWfqG" int2:invalidationBookmarkName="" int2:hashCode="87hrE9u8HyXx7Y" int2:id="nd1hPUHF">
      <int2:state int2:type="AugLoop_Text_Critique" int2:value="Rejected"/>
    </int2:bookmark>
    <int2:bookmark int2:bookmarkName="_Int_0QJXMZ4t" int2:invalidationBookmarkName="" int2:hashCode="87hrE9u8HyXx7Y" int2:id="SWb79m1y">
      <int2:state int2:type="AugLoop_Text_Critique" int2:value="Rejected"/>
    </int2:bookmark>
    <int2:bookmark int2:bookmarkName="_Int_9vYIb8vz" int2:invalidationBookmarkName="" int2:hashCode="87hrE9u8HyXx7Y" int2:id="vCIOPaej">
      <int2:state int2:type="AugLoop_Text_Critique" int2:value="Rejected"/>
    </int2:bookmark>
    <int2:bookmark int2:bookmarkName="_Int_3We6JrgF" int2:invalidationBookmarkName="" int2:hashCode="87hrE9u8HyXx7Y" int2:id="lC2DG4C8">
      <int2:state int2:type="AugLoop_Text_Critique" int2:value="Rejected"/>
    </int2:bookmark>
    <int2:bookmark int2:bookmarkName="_Int_NQj8BlsM" int2:invalidationBookmarkName="" int2:hashCode="87hrE9u8HyXx7Y" int2:id="ySCfX0UH">
      <int2:state int2:type="AugLoop_Text_Critique" int2:value="Rejected"/>
    </int2:bookmark>
    <int2:bookmark int2:bookmarkName="_Int_O7Hijyiv" int2:invalidationBookmarkName="" int2:hashCode="nZik4ohbSrsvws" int2:id="cSNRIfgd">
      <int2:state int2:type="AugLoop_Text_Critique" int2:value="Rejected"/>
    </int2:bookmark>
    <int2:bookmark int2:bookmarkName="_Int_MHR0355L" int2:invalidationBookmarkName="" int2:hashCode="87hrE9u8HyXx7Y" int2:id="gF9qmUgT">
      <int2:state int2:type="AugLoop_Text_Critique" int2:value="Rejected"/>
    </int2:bookmark>
    <int2:bookmark int2:bookmarkName="_Int_HQtpi6Th" int2:invalidationBookmarkName="" int2:hashCode="87hrE9u8HyXx7Y" int2:id="wW3vyKo9">
      <int2:state int2:type="AugLoop_Text_Critique" int2:value="Rejected"/>
    </int2:bookmark>
    <int2:bookmark int2:bookmarkName="_Int_zTtyfREM" int2:invalidationBookmarkName="" int2:hashCode="87hrE9u8HyXx7Y" int2:id="T579naWO">
      <int2:state int2:type="AugLoop_Text_Critique" int2:value="Rejected"/>
    </int2:bookmark>
    <int2:bookmark int2:bookmarkName="_Int_VUPbB6F6" int2:invalidationBookmarkName="" int2:hashCode="87hrE9u8HyXx7Y" int2:id="lJeGXgim">
      <int2:state int2:type="AugLoop_Text_Critique" int2:value="Rejected"/>
    </int2:bookmark>
    <int2:bookmark int2:bookmarkName="_Int_M4EFKgGE" int2:invalidationBookmarkName="" int2:hashCode="87hrE9u8HyXx7Y" int2:id="PWiDWI9n">
      <int2:state int2:type="AugLoop_Text_Critique" int2:value="Rejected"/>
    </int2:bookmark>
    <int2:bookmark int2:bookmarkName="_Int_fX5zclXJ" int2:invalidationBookmarkName="" int2:hashCode="87hrE9u8HyXx7Y" int2:id="BDkOOfxd">
      <int2:state int2:type="AugLoop_Text_Critique" int2:value="Rejected"/>
    </int2:bookmark>
    <int2:bookmark int2:bookmarkName="_Int_PnJh2nzs" int2:invalidationBookmarkName="" int2:hashCode="t42G9WUGnWGiZ2" int2:id="qGx6DnzD">
      <int2:state int2:type="AugLoop_Text_Critique" int2:value="Rejected"/>
    </int2:bookmark>
    <int2:bookmark int2:bookmarkName="_Int_rgbAyWpe" int2:invalidationBookmarkName="" int2:hashCode="87hrE9u8HyXx7Y" int2:id="QHPzcLE5">
      <int2:state int2:type="AugLoop_Text_Critique" int2:value="Rejected"/>
    </int2:bookmark>
    <int2:bookmark int2:bookmarkName="_Int_7F80Mw8T" int2:invalidationBookmarkName="" int2:hashCode="87hrE9u8HyXx7Y" int2:id="MWRuaXp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7653"/>
    <w:multiLevelType w:val="hybridMultilevel"/>
    <w:tmpl w:val="7B500D56"/>
    <w:lvl w:ilvl="0" w:tplc="1332E284">
      <w:start w:val="1"/>
      <w:numFmt w:val="bullet"/>
      <w:lvlText w:val=""/>
      <w:lvlJc w:val="left"/>
      <w:pPr>
        <w:ind w:left="720" w:hanging="360"/>
      </w:pPr>
      <w:rPr>
        <w:rFonts w:ascii="Symbol" w:hAnsi="Symbol" w:hint="default"/>
      </w:rPr>
    </w:lvl>
    <w:lvl w:ilvl="1" w:tplc="79B45B42">
      <w:start w:val="1"/>
      <w:numFmt w:val="bullet"/>
      <w:lvlText w:val="o"/>
      <w:lvlJc w:val="left"/>
      <w:pPr>
        <w:ind w:left="1440" w:hanging="360"/>
      </w:pPr>
      <w:rPr>
        <w:rFonts w:ascii="Courier New" w:hAnsi="Courier New" w:hint="default"/>
      </w:rPr>
    </w:lvl>
    <w:lvl w:ilvl="2" w:tplc="5C246612">
      <w:start w:val="1"/>
      <w:numFmt w:val="bullet"/>
      <w:lvlText w:val=""/>
      <w:lvlJc w:val="left"/>
      <w:pPr>
        <w:ind w:left="2160" w:hanging="360"/>
      </w:pPr>
      <w:rPr>
        <w:rFonts w:ascii="Wingdings" w:hAnsi="Wingdings" w:hint="default"/>
      </w:rPr>
    </w:lvl>
    <w:lvl w:ilvl="3" w:tplc="4330F45E">
      <w:start w:val="1"/>
      <w:numFmt w:val="bullet"/>
      <w:lvlText w:val=""/>
      <w:lvlJc w:val="left"/>
      <w:pPr>
        <w:ind w:left="2880" w:hanging="360"/>
      </w:pPr>
      <w:rPr>
        <w:rFonts w:ascii="Symbol" w:hAnsi="Symbol" w:hint="default"/>
      </w:rPr>
    </w:lvl>
    <w:lvl w:ilvl="4" w:tplc="616492B6">
      <w:start w:val="1"/>
      <w:numFmt w:val="bullet"/>
      <w:lvlText w:val="o"/>
      <w:lvlJc w:val="left"/>
      <w:pPr>
        <w:ind w:left="3600" w:hanging="360"/>
      </w:pPr>
      <w:rPr>
        <w:rFonts w:ascii="Courier New" w:hAnsi="Courier New" w:hint="default"/>
      </w:rPr>
    </w:lvl>
    <w:lvl w:ilvl="5" w:tplc="D91C95BE">
      <w:start w:val="1"/>
      <w:numFmt w:val="bullet"/>
      <w:lvlText w:val=""/>
      <w:lvlJc w:val="left"/>
      <w:pPr>
        <w:ind w:left="4320" w:hanging="360"/>
      </w:pPr>
      <w:rPr>
        <w:rFonts w:ascii="Wingdings" w:hAnsi="Wingdings" w:hint="default"/>
      </w:rPr>
    </w:lvl>
    <w:lvl w:ilvl="6" w:tplc="3E64EF06">
      <w:start w:val="1"/>
      <w:numFmt w:val="bullet"/>
      <w:lvlText w:val=""/>
      <w:lvlJc w:val="left"/>
      <w:pPr>
        <w:ind w:left="5040" w:hanging="360"/>
      </w:pPr>
      <w:rPr>
        <w:rFonts w:ascii="Symbol" w:hAnsi="Symbol" w:hint="default"/>
      </w:rPr>
    </w:lvl>
    <w:lvl w:ilvl="7" w:tplc="37261228">
      <w:start w:val="1"/>
      <w:numFmt w:val="bullet"/>
      <w:lvlText w:val="o"/>
      <w:lvlJc w:val="left"/>
      <w:pPr>
        <w:ind w:left="5760" w:hanging="360"/>
      </w:pPr>
      <w:rPr>
        <w:rFonts w:ascii="Courier New" w:hAnsi="Courier New" w:hint="default"/>
      </w:rPr>
    </w:lvl>
    <w:lvl w:ilvl="8" w:tplc="C7C8CD2A">
      <w:start w:val="1"/>
      <w:numFmt w:val="bullet"/>
      <w:lvlText w:val=""/>
      <w:lvlJc w:val="left"/>
      <w:pPr>
        <w:ind w:left="6480" w:hanging="360"/>
      </w:pPr>
      <w:rPr>
        <w:rFonts w:ascii="Wingdings" w:hAnsi="Wingdings" w:hint="default"/>
      </w:rPr>
    </w:lvl>
  </w:abstractNum>
  <w:abstractNum w:abstractNumId="1" w15:restartNumberingAfterBreak="0">
    <w:nsid w:val="3DEAEC1E"/>
    <w:multiLevelType w:val="hybridMultilevel"/>
    <w:tmpl w:val="7E620538"/>
    <w:lvl w:ilvl="0" w:tplc="AEE414D6">
      <w:start w:val="1"/>
      <w:numFmt w:val="bullet"/>
      <w:lvlText w:val=""/>
      <w:lvlJc w:val="left"/>
      <w:pPr>
        <w:ind w:left="720" w:hanging="360"/>
      </w:pPr>
      <w:rPr>
        <w:rFonts w:ascii="Symbol" w:hAnsi="Symbol" w:hint="default"/>
      </w:rPr>
    </w:lvl>
    <w:lvl w:ilvl="1" w:tplc="CFF4824A">
      <w:start w:val="1"/>
      <w:numFmt w:val="bullet"/>
      <w:lvlText w:val="o"/>
      <w:lvlJc w:val="left"/>
      <w:pPr>
        <w:ind w:left="1440" w:hanging="360"/>
      </w:pPr>
      <w:rPr>
        <w:rFonts w:ascii="Courier New" w:hAnsi="Courier New" w:hint="default"/>
      </w:rPr>
    </w:lvl>
    <w:lvl w:ilvl="2" w:tplc="EBC8DC52">
      <w:start w:val="1"/>
      <w:numFmt w:val="bullet"/>
      <w:lvlText w:val=""/>
      <w:lvlJc w:val="left"/>
      <w:pPr>
        <w:ind w:left="2160" w:hanging="360"/>
      </w:pPr>
      <w:rPr>
        <w:rFonts w:ascii="Wingdings" w:hAnsi="Wingdings" w:hint="default"/>
      </w:rPr>
    </w:lvl>
    <w:lvl w:ilvl="3" w:tplc="F64672A4">
      <w:start w:val="1"/>
      <w:numFmt w:val="bullet"/>
      <w:lvlText w:val=""/>
      <w:lvlJc w:val="left"/>
      <w:pPr>
        <w:ind w:left="2880" w:hanging="360"/>
      </w:pPr>
      <w:rPr>
        <w:rFonts w:ascii="Symbol" w:hAnsi="Symbol" w:hint="default"/>
      </w:rPr>
    </w:lvl>
    <w:lvl w:ilvl="4" w:tplc="9D0C6176">
      <w:start w:val="1"/>
      <w:numFmt w:val="bullet"/>
      <w:lvlText w:val="o"/>
      <w:lvlJc w:val="left"/>
      <w:pPr>
        <w:ind w:left="3600" w:hanging="360"/>
      </w:pPr>
      <w:rPr>
        <w:rFonts w:ascii="Courier New" w:hAnsi="Courier New" w:hint="default"/>
      </w:rPr>
    </w:lvl>
    <w:lvl w:ilvl="5" w:tplc="5616FE26">
      <w:start w:val="1"/>
      <w:numFmt w:val="bullet"/>
      <w:lvlText w:val=""/>
      <w:lvlJc w:val="left"/>
      <w:pPr>
        <w:ind w:left="4320" w:hanging="360"/>
      </w:pPr>
      <w:rPr>
        <w:rFonts w:ascii="Wingdings" w:hAnsi="Wingdings" w:hint="default"/>
      </w:rPr>
    </w:lvl>
    <w:lvl w:ilvl="6" w:tplc="95A0C9F4">
      <w:start w:val="1"/>
      <w:numFmt w:val="bullet"/>
      <w:lvlText w:val=""/>
      <w:lvlJc w:val="left"/>
      <w:pPr>
        <w:ind w:left="5040" w:hanging="360"/>
      </w:pPr>
      <w:rPr>
        <w:rFonts w:ascii="Symbol" w:hAnsi="Symbol" w:hint="default"/>
      </w:rPr>
    </w:lvl>
    <w:lvl w:ilvl="7" w:tplc="4538D784">
      <w:start w:val="1"/>
      <w:numFmt w:val="bullet"/>
      <w:lvlText w:val="o"/>
      <w:lvlJc w:val="left"/>
      <w:pPr>
        <w:ind w:left="5760" w:hanging="360"/>
      </w:pPr>
      <w:rPr>
        <w:rFonts w:ascii="Courier New" w:hAnsi="Courier New" w:hint="default"/>
      </w:rPr>
    </w:lvl>
    <w:lvl w:ilvl="8" w:tplc="7894654C">
      <w:start w:val="1"/>
      <w:numFmt w:val="bullet"/>
      <w:lvlText w:val=""/>
      <w:lvlJc w:val="left"/>
      <w:pPr>
        <w:ind w:left="6480" w:hanging="360"/>
      </w:pPr>
      <w:rPr>
        <w:rFonts w:ascii="Wingdings" w:hAnsi="Wingdings" w:hint="default"/>
      </w:rPr>
    </w:lvl>
  </w:abstractNum>
  <w:abstractNum w:abstractNumId="2" w15:restartNumberingAfterBreak="0">
    <w:nsid w:val="5F743C13"/>
    <w:multiLevelType w:val="hybridMultilevel"/>
    <w:tmpl w:val="B19A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AE49D"/>
    <w:multiLevelType w:val="hybridMultilevel"/>
    <w:tmpl w:val="B3EA962C"/>
    <w:lvl w:ilvl="0" w:tplc="B4B40116">
      <w:start w:val="1"/>
      <w:numFmt w:val="bullet"/>
      <w:lvlText w:val=""/>
      <w:lvlJc w:val="left"/>
      <w:pPr>
        <w:ind w:left="720" w:hanging="360"/>
      </w:pPr>
      <w:rPr>
        <w:rFonts w:ascii="Symbol" w:hAnsi="Symbol" w:hint="default"/>
      </w:rPr>
    </w:lvl>
    <w:lvl w:ilvl="1" w:tplc="1644938E">
      <w:start w:val="1"/>
      <w:numFmt w:val="bullet"/>
      <w:lvlText w:val="o"/>
      <w:lvlJc w:val="left"/>
      <w:pPr>
        <w:ind w:left="1440" w:hanging="360"/>
      </w:pPr>
      <w:rPr>
        <w:rFonts w:ascii="Courier New" w:hAnsi="Courier New" w:hint="default"/>
      </w:rPr>
    </w:lvl>
    <w:lvl w:ilvl="2" w:tplc="1AF2056E">
      <w:start w:val="1"/>
      <w:numFmt w:val="bullet"/>
      <w:lvlText w:val=""/>
      <w:lvlJc w:val="left"/>
      <w:pPr>
        <w:ind w:left="2160" w:hanging="360"/>
      </w:pPr>
      <w:rPr>
        <w:rFonts w:ascii="Wingdings" w:hAnsi="Wingdings" w:hint="default"/>
      </w:rPr>
    </w:lvl>
    <w:lvl w:ilvl="3" w:tplc="91B688C4">
      <w:start w:val="1"/>
      <w:numFmt w:val="bullet"/>
      <w:lvlText w:val=""/>
      <w:lvlJc w:val="left"/>
      <w:pPr>
        <w:ind w:left="2880" w:hanging="360"/>
      </w:pPr>
      <w:rPr>
        <w:rFonts w:ascii="Symbol" w:hAnsi="Symbol" w:hint="default"/>
      </w:rPr>
    </w:lvl>
    <w:lvl w:ilvl="4" w:tplc="47E45088">
      <w:start w:val="1"/>
      <w:numFmt w:val="bullet"/>
      <w:lvlText w:val="o"/>
      <w:lvlJc w:val="left"/>
      <w:pPr>
        <w:ind w:left="3600" w:hanging="360"/>
      </w:pPr>
      <w:rPr>
        <w:rFonts w:ascii="Courier New" w:hAnsi="Courier New" w:hint="default"/>
      </w:rPr>
    </w:lvl>
    <w:lvl w:ilvl="5" w:tplc="E7BA575E">
      <w:start w:val="1"/>
      <w:numFmt w:val="bullet"/>
      <w:lvlText w:val=""/>
      <w:lvlJc w:val="left"/>
      <w:pPr>
        <w:ind w:left="4320" w:hanging="360"/>
      </w:pPr>
      <w:rPr>
        <w:rFonts w:ascii="Wingdings" w:hAnsi="Wingdings" w:hint="default"/>
      </w:rPr>
    </w:lvl>
    <w:lvl w:ilvl="6" w:tplc="28EC5694">
      <w:start w:val="1"/>
      <w:numFmt w:val="bullet"/>
      <w:lvlText w:val=""/>
      <w:lvlJc w:val="left"/>
      <w:pPr>
        <w:ind w:left="5040" w:hanging="360"/>
      </w:pPr>
      <w:rPr>
        <w:rFonts w:ascii="Symbol" w:hAnsi="Symbol" w:hint="default"/>
      </w:rPr>
    </w:lvl>
    <w:lvl w:ilvl="7" w:tplc="F4502D6C">
      <w:start w:val="1"/>
      <w:numFmt w:val="bullet"/>
      <w:lvlText w:val="o"/>
      <w:lvlJc w:val="left"/>
      <w:pPr>
        <w:ind w:left="5760" w:hanging="360"/>
      </w:pPr>
      <w:rPr>
        <w:rFonts w:ascii="Courier New" w:hAnsi="Courier New" w:hint="default"/>
      </w:rPr>
    </w:lvl>
    <w:lvl w:ilvl="8" w:tplc="E438B51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C8"/>
    <w:rsid w:val="00053D8B"/>
    <w:rsid w:val="00075AD9"/>
    <w:rsid w:val="000D3B40"/>
    <w:rsid w:val="000D4F24"/>
    <w:rsid w:val="0010678E"/>
    <w:rsid w:val="00106AA4"/>
    <w:rsid w:val="00121A06"/>
    <w:rsid w:val="00136C64"/>
    <w:rsid w:val="00154063"/>
    <w:rsid w:val="00157053"/>
    <w:rsid w:val="001725AE"/>
    <w:rsid w:val="00173523"/>
    <w:rsid w:val="0019228E"/>
    <w:rsid w:val="001C1FBA"/>
    <w:rsid w:val="00233F5D"/>
    <w:rsid w:val="00245FAC"/>
    <w:rsid w:val="00276B41"/>
    <w:rsid w:val="002B3AC6"/>
    <w:rsid w:val="002B5639"/>
    <w:rsid w:val="002C06FA"/>
    <w:rsid w:val="002D18A6"/>
    <w:rsid w:val="002D3A05"/>
    <w:rsid w:val="002F2AE6"/>
    <w:rsid w:val="002F6234"/>
    <w:rsid w:val="00302D61"/>
    <w:rsid w:val="00313135"/>
    <w:rsid w:val="00316EB1"/>
    <w:rsid w:val="003259E8"/>
    <w:rsid w:val="0032699C"/>
    <w:rsid w:val="0035621E"/>
    <w:rsid w:val="00363E5B"/>
    <w:rsid w:val="00366D76"/>
    <w:rsid w:val="003865EF"/>
    <w:rsid w:val="00387E41"/>
    <w:rsid w:val="003E08F5"/>
    <w:rsid w:val="003E2F9F"/>
    <w:rsid w:val="003E39AD"/>
    <w:rsid w:val="003E5A48"/>
    <w:rsid w:val="003E6EEA"/>
    <w:rsid w:val="0040609A"/>
    <w:rsid w:val="00406181"/>
    <w:rsid w:val="00413C60"/>
    <w:rsid w:val="00437FC1"/>
    <w:rsid w:val="00447B73"/>
    <w:rsid w:val="00451520"/>
    <w:rsid w:val="00453965"/>
    <w:rsid w:val="00485420"/>
    <w:rsid w:val="004A3821"/>
    <w:rsid w:val="004E0E5F"/>
    <w:rsid w:val="004E4B66"/>
    <w:rsid w:val="00523ACC"/>
    <w:rsid w:val="00543C40"/>
    <w:rsid w:val="00561438"/>
    <w:rsid w:val="0057E7B3"/>
    <w:rsid w:val="005A73C2"/>
    <w:rsid w:val="00605A80"/>
    <w:rsid w:val="00610A68"/>
    <w:rsid w:val="0062663C"/>
    <w:rsid w:val="00641ED1"/>
    <w:rsid w:val="00660358"/>
    <w:rsid w:val="00666FE8"/>
    <w:rsid w:val="00673B93"/>
    <w:rsid w:val="006B1A36"/>
    <w:rsid w:val="006D012E"/>
    <w:rsid w:val="006E1BA8"/>
    <w:rsid w:val="00731FEF"/>
    <w:rsid w:val="007411CB"/>
    <w:rsid w:val="00781BC9"/>
    <w:rsid w:val="00795F3A"/>
    <w:rsid w:val="007C0285"/>
    <w:rsid w:val="007E77CC"/>
    <w:rsid w:val="007F0C2B"/>
    <w:rsid w:val="00834B57"/>
    <w:rsid w:val="008447AB"/>
    <w:rsid w:val="00851DEA"/>
    <w:rsid w:val="00875CF9"/>
    <w:rsid w:val="008A4BA6"/>
    <w:rsid w:val="008C453A"/>
    <w:rsid w:val="008E1F59"/>
    <w:rsid w:val="008E2387"/>
    <w:rsid w:val="0091000F"/>
    <w:rsid w:val="00915246"/>
    <w:rsid w:val="0093238D"/>
    <w:rsid w:val="00942B68"/>
    <w:rsid w:val="0095751B"/>
    <w:rsid w:val="009927BA"/>
    <w:rsid w:val="009A2960"/>
    <w:rsid w:val="009A42F1"/>
    <w:rsid w:val="009B4607"/>
    <w:rsid w:val="009C509C"/>
    <w:rsid w:val="009D1011"/>
    <w:rsid w:val="009D18DC"/>
    <w:rsid w:val="009E5A9F"/>
    <w:rsid w:val="00AA630D"/>
    <w:rsid w:val="00AB1D50"/>
    <w:rsid w:val="00AB53CD"/>
    <w:rsid w:val="00AC2169"/>
    <w:rsid w:val="00AF2A20"/>
    <w:rsid w:val="00AF2F57"/>
    <w:rsid w:val="00B366D9"/>
    <w:rsid w:val="00B466D2"/>
    <w:rsid w:val="00B70149"/>
    <w:rsid w:val="00BB6D44"/>
    <w:rsid w:val="00BE5339"/>
    <w:rsid w:val="00BF49A4"/>
    <w:rsid w:val="00C0730E"/>
    <w:rsid w:val="00C141BF"/>
    <w:rsid w:val="00C35031"/>
    <w:rsid w:val="00C5501B"/>
    <w:rsid w:val="00C6216D"/>
    <w:rsid w:val="00C85AD1"/>
    <w:rsid w:val="00C97AA3"/>
    <w:rsid w:val="00CB09DF"/>
    <w:rsid w:val="00D26C4B"/>
    <w:rsid w:val="00D30487"/>
    <w:rsid w:val="00D31508"/>
    <w:rsid w:val="00D33B6B"/>
    <w:rsid w:val="00D435A5"/>
    <w:rsid w:val="00D752C8"/>
    <w:rsid w:val="00D858C7"/>
    <w:rsid w:val="00D93FBB"/>
    <w:rsid w:val="00D94BA1"/>
    <w:rsid w:val="00DB637D"/>
    <w:rsid w:val="00DF223F"/>
    <w:rsid w:val="00DF6BBD"/>
    <w:rsid w:val="00E352AB"/>
    <w:rsid w:val="00E41DB3"/>
    <w:rsid w:val="00E56AA9"/>
    <w:rsid w:val="00E711FF"/>
    <w:rsid w:val="00E71A39"/>
    <w:rsid w:val="00EC6138"/>
    <w:rsid w:val="00EE5AF3"/>
    <w:rsid w:val="00EF5C94"/>
    <w:rsid w:val="00F00704"/>
    <w:rsid w:val="00F008F1"/>
    <w:rsid w:val="00F01E81"/>
    <w:rsid w:val="00F22ABF"/>
    <w:rsid w:val="00F3183B"/>
    <w:rsid w:val="00F330EB"/>
    <w:rsid w:val="00F434C8"/>
    <w:rsid w:val="00F4A2AD"/>
    <w:rsid w:val="00F67072"/>
    <w:rsid w:val="00F70D9B"/>
    <w:rsid w:val="00F91E0D"/>
    <w:rsid w:val="00F930E2"/>
    <w:rsid w:val="00FA0067"/>
    <w:rsid w:val="00FC017A"/>
    <w:rsid w:val="00FF069A"/>
    <w:rsid w:val="00FF55C9"/>
    <w:rsid w:val="010915EC"/>
    <w:rsid w:val="0112D1A7"/>
    <w:rsid w:val="024D3E82"/>
    <w:rsid w:val="02556445"/>
    <w:rsid w:val="0274F1A3"/>
    <w:rsid w:val="03420C31"/>
    <w:rsid w:val="03901E9B"/>
    <w:rsid w:val="03CF85E4"/>
    <w:rsid w:val="03F799A7"/>
    <w:rsid w:val="052BEEFC"/>
    <w:rsid w:val="056B5645"/>
    <w:rsid w:val="05AC9265"/>
    <w:rsid w:val="05FE05E6"/>
    <w:rsid w:val="061CA6DA"/>
    <w:rsid w:val="0663BB2E"/>
    <w:rsid w:val="06929FE2"/>
    <w:rsid w:val="07246F76"/>
    <w:rsid w:val="074862C6"/>
    <w:rsid w:val="08638FBE"/>
    <w:rsid w:val="08E9FAB7"/>
    <w:rsid w:val="08F23B63"/>
    <w:rsid w:val="0A133C49"/>
    <w:rsid w:val="0A5D6F03"/>
    <w:rsid w:val="0AD0B14D"/>
    <w:rsid w:val="0AD9648F"/>
    <w:rsid w:val="0B0C3743"/>
    <w:rsid w:val="0B8D9169"/>
    <w:rsid w:val="0BA10B5A"/>
    <w:rsid w:val="0C0D4436"/>
    <w:rsid w:val="0C7534F0"/>
    <w:rsid w:val="0DAA182F"/>
    <w:rsid w:val="0EAB2753"/>
    <w:rsid w:val="0FAD6BD8"/>
    <w:rsid w:val="1060BAAE"/>
    <w:rsid w:val="1067BFA6"/>
    <w:rsid w:val="10EF450C"/>
    <w:rsid w:val="110FCD14"/>
    <w:rsid w:val="115834BA"/>
    <w:rsid w:val="1188CA57"/>
    <w:rsid w:val="11BB5F11"/>
    <w:rsid w:val="11BF201C"/>
    <w:rsid w:val="120A7204"/>
    <w:rsid w:val="127DA474"/>
    <w:rsid w:val="13778446"/>
    <w:rsid w:val="138C433E"/>
    <w:rsid w:val="13D5C5B2"/>
    <w:rsid w:val="13ED7D4E"/>
    <w:rsid w:val="141C0166"/>
    <w:rsid w:val="14EFC309"/>
    <w:rsid w:val="14F768CA"/>
    <w:rsid w:val="15201DA2"/>
    <w:rsid w:val="1531F3ED"/>
    <w:rsid w:val="15B8A92D"/>
    <w:rsid w:val="16863E72"/>
    <w:rsid w:val="168BFB4F"/>
    <w:rsid w:val="16CA2D7F"/>
    <w:rsid w:val="16D7012A"/>
    <w:rsid w:val="176A6B53"/>
    <w:rsid w:val="17EF60BB"/>
    <w:rsid w:val="180D6C45"/>
    <w:rsid w:val="1872D18B"/>
    <w:rsid w:val="1AF77382"/>
    <w:rsid w:val="1C72CB55"/>
    <w:rsid w:val="1C8B58BA"/>
    <w:rsid w:val="1C9D126D"/>
    <w:rsid w:val="1D4642AE"/>
    <w:rsid w:val="1DAD6840"/>
    <w:rsid w:val="1E1EEE02"/>
    <w:rsid w:val="1E9932AE"/>
    <w:rsid w:val="1EA72FE3"/>
    <w:rsid w:val="1EE8F249"/>
    <w:rsid w:val="1FC9C21E"/>
    <w:rsid w:val="20430044"/>
    <w:rsid w:val="20639DDD"/>
    <w:rsid w:val="21C15B72"/>
    <w:rsid w:val="21CEC895"/>
    <w:rsid w:val="224C3661"/>
    <w:rsid w:val="22D002E2"/>
    <w:rsid w:val="2324AFF1"/>
    <w:rsid w:val="23B4EE5A"/>
    <w:rsid w:val="247DD868"/>
    <w:rsid w:val="24C73C8E"/>
    <w:rsid w:val="24E2F78A"/>
    <w:rsid w:val="24F45B63"/>
    <w:rsid w:val="24FA33D7"/>
    <w:rsid w:val="2517A42E"/>
    <w:rsid w:val="254019BC"/>
    <w:rsid w:val="258422D6"/>
    <w:rsid w:val="25CECCF7"/>
    <w:rsid w:val="266CE7FF"/>
    <w:rsid w:val="26B35273"/>
    <w:rsid w:val="272125B8"/>
    <w:rsid w:val="27294B7B"/>
    <w:rsid w:val="2798FD2D"/>
    <w:rsid w:val="29033721"/>
    <w:rsid w:val="29D9DA7A"/>
    <w:rsid w:val="29F302D7"/>
    <w:rsid w:val="2A447658"/>
    <w:rsid w:val="2B4F208E"/>
    <w:rsid w:val="2B60CA3B"/>
    <w:rsid w:val="2BD6C343"/>
    <w:rsid w:val="2C72B89A"/>
    <w:rsid w:val="2D117B3C"/>
    <w:rsid w:val="2D3580AA"/>
    <w:rsid w:val="2D7966C0"/>
    <w:rsid w:val="2E16FFD8"/>
    <w:rsid w:val="2E3BA4AF"/>
    <w:rsid w:val="2F74EF27"/>
    <w:rsid w:val="30491BFE"/>
    <w:rsid w:val="30BFD5CC"/>
    <w:rsid w:val="30D2F252"/>
    <w:rsid w:val="314629BD"/>
    <w:rsid w:val="3160CA39"/>
    <w:rsid w:val="31C7609F"/>
    <w:rsid w:val="31FB1933"/>
    <w:rsid w:val="31FE14BC"/>
    <w:rsid w:val="32020BF9"/>
    <w:rsid w:val="32B206ED"/>
    <w:rsid w:val="3380BCC0"/>
    <w:rsid w:val="33D8825B"/>
    <w:rsid w:val="33DA1DC7"/>
    <w:rsid w:val="3575EE28"/>
    <w:rsid w:val="35E9A7AF"/>
    <w:rsid w:val="371DB416"/>
    <w:rsid w:val="37514052"/>
    <w:rsid w:val="37C7395A"/>
    <w:rsid w:val="37D557B2"/>
    <w:rsid w:val="382C1154"/>
    <w:rsid w:val="38EE8A6D"/>
    <w:rsid w:val="392EC879"/>
    <w:rsid w:val="39EA0176"/>
    <w:rsid w:val="3A0775EF"/>
    <w:rsid w:val="3A1B70F7"/>
    <w:rsid w:val="3A495F4B"/>
    <w:rsid w:val="3A93B312"/>
    <w:rsid w:val="3ABD18D2"/>
    <w:rsid w:val="3ACEEACA"/>
    <w:rsid w:val="3B116BFB"/>
    <w:rsid w:val="3B8DDE3C"/>
    <w:rsid w:val="3BA4C00A"/>
    <w:rsid w:val="3BCC074F"/>
    <w:rsid w:val="3D846111"/>
    <w:rsid w:val="3EC970D6"/>
    <w:rsid w:val="3FCB19D9"/>
    <w:rsid w:val="3FD7BA62"/>
    <w:rsid w:val="403044CB"/>
    <w:rsid w:val="403B5604"/>
    <w:rsid w:val="40666D9D"/>
    <w:rsid w:val="415AE58F"/>
    <w:rsid w:val="41738AC3"/>
    <w:rsid w:val="42D67DD0"/>
    <w:rsid w:val="43D5488F"/>
    <w:rsid w:val="44AAAA3D"/>
    <w:rsid w:val="44F26A22"/>
    <w:rsid w:val="4541CC46"/>
    <w:rsid w:val="459AB438"/>
    <w:rsid w:val="460333E7"/>
    <w:rsid w:val="4631B03D"/>
    <w:rsid w:val="4646FBE6"/>
    <w:rsid w:val="4758BA17"/>
    <w:rsid w:val="477D66DC"/>
    <w:rsid w:val="47CEB31F"/>
    <w:rsid w:val="486F58F4"/>
    <w:rsid w:val="48E7E5DA"/>
    <w:rsid w:val="498ABD92"/>
    <w:rsid w:val="49CE1B0D"/>
    <w:rsid w:val="4A89B226"/>
    <w:rsid w:val="4B95FFA1"/>
    <w:rsid w:val="4C258287"/>
    <w:rsid w:val="4D49A793"/>
    <w:rsid w:val="4D7984D6"/>
    <w:rsid w:val="4D97B9FD"/>
    <w:rsid w:val="4E520DCB"/>
    <w:rsid w:val="4E6C08B0"/>
    <w:rsid w:val="4F338A5E"/>
    <w:rsid w:val="4F418A98"/>
    <w:rsid w:val="4FB8FC23"/>
    <w:rsid w:val="4FED31A8"/>
    <w:rsid w:val="50551027"/>
    <w:rsid w:val="50847EED"/>
    <w:rsid w:val="50ABABE9"/>
    <w:rsid w:val="50D6F8B8"/>
    <w:rsid w:val="50FF1479"/>
    <w:rsid w:val="5157EBAE"/>
    <w:rsid w:val="51692685"/>
    <w:rsid w:val="52CC8F1B"/>
    <w:rsid w:val="52F3BC0F"/>
    <w:rsid w:val="5406FB81"/>
    <w:rsid w:val="5431F730"/>
    <w:rsid w:val="544662CA"/>
    <w:rsid w:val="54A32055"/>
    <w:rsid w:val="558AC537"/>
    <w:rsid w:val="55BE9124"/>
    <w:rsid w:val="55CCAF7C"/>
    <w:rsid w:val="55D4D53F"/>
    <w:rsid w:val="56C027C0"/>
    <w:rsid w:val="56C53EEC"/>
    <w:rsid w:val="56D3CDE4"/>
    <w:rsid w:val="5874C6C1"/>
    <w:rsid w:val="5973232B"/>
    <w:rsid w:val="599C17D4"/>
    <w:rsid w:val="59B47114"/>
    <w:rsid w:val="5A24D7CF"/>
    <w:rsid w:val="5A978EDD"/>
    <w:rsid w:val="5B6C5BF9"/>
    <w:rsid w:val="5BFBDBB3"/>
    <w:rsid w:val="5C120D66"/>
    <w:rsid w:val="5C3345E0"/>
    <w:rsid w:val="5C9A9E55"/>
    <w:rsid w:val="5CD44EBA"/>
    <w:rsid w:val="5D115823"/>
    <w:rsid w:val="5D49D998"/>
    <w:rsid w:val="5D97AC14"/>
    <w:rsid w:val="5F768E0C"/>
    <w:rsid w:val="602BA01E"/>
    <w:rsid w:val="60E57E89"/>
    <w:rsid w:val="612AD519"/>
    <w:rsid w:val="616621F2"/>
    <w:rsid w:val="619FB11A"/>
    <w:rsid w:val="61A0CE21"/>
    <w:rsid w:val="62544157"/>
    <w:rsid w:val="62928968"/>
    <w:rsid w:val="62DA5AC8"/>
    <w:rsid w:val="63469479"/>
    <w:rsid w:val="64163D4E"/>
    <w:rsid w:val="645DA831"/>
    <w:rsid w:val="649DC2B4"/>
    <w:rsid w:val="64FF1141"/>
    <w:rsid w:val="652F5343"/>
    <w:rsid w:val="65977661"/>
    <w:rsid w:val="65C60AE9"/>
    <w:rsid w:val="65C89BB6"/>
    <w:rsid w:val="662F8613"/>
    <w:rsid w:val="67DD50FC"/>
    <w:rsid w:val="68074E75"/>
    <w:rsid w:val="680E6D41"/>
    <w:rsid w:val="6812DD84"/>
    <w:rsid w:val="682EC47D"/>
    <w:rsid w:val="68EFC8F6"/>
    <w:rsid w:val="690B8442"/>
    <w:rsid w:val="69957341"/>
    <w:rsid w:val="69CA94DE"/>
    <w:rsid w:val="69D28264"/>
    <w:rsid w:val="6A05AF6C"/>
    <w:rsid w:val="6A2D138E"/>
    <w:rsid w:val="6A7BA874"/>
    <w:rsid w:val="6A8D6C58"/>
    <w:rsid w:val="6AA75607"/>
    <w:rsid w:val="6B02F736"/>
    <w:rsid w:val="6B6E52C5"/>
    <w:rsid w:val="6BC9050E"/>
    <w:rsid w:val="6C6A90D8"/>
    <w:rsid w:val="6C9EC797"/>
    <w:rsid w:val="6CBBE509"/>
    <w:rsid w:val="6CE9ABAE"/>
    <w:rsid w:val="6D0A2326"/>
    <w:rsid w:val="6D31DE11"/>
    <w:rsid w:val="6D58CF8D"/>
    <w:rsid w:val="6DA7D719"/>
    <w:rsid w:val="6DAF0777"/>
    <w:rsid w:val="6E3A97F8"/>
    <w:rsid w:val="6F0E04B9"/>
    <w:rsid w:val="6F3AC0FB"/>
    <w:rsid w:val="70041B90"/>
    <w:rsid w:val="7039D662"/>
    <w:rsid w:val="7041C3E8"/>
    <w:rsid w:val="705A3E32"/>
    <w:rsid w:val="70A9D51A"/>
    <w:rsid w:val="71D5A6C3"/>
    <w:rsid w:val="71D63CE9"/>
    <w:rsid w:val="730E091B"/>
    <w:rsid w:val="73717724"/>
    <w:rsid w:val="741A88CB"/>
    <w:rsid w:val="74BBD404"/>
    <w:rsid w:val="74DD3A01"/>
    <w:rsid w:val="7515350B"/>
    <w:rsid w:val="753F641C"/>
    <w:rsid w:val="75A7A971"/>
    <w:rsid w:val="75D8B10A"/>
    <w:rsid w:val="76A9AE0C"/>
    <w:rsid w:val="76B1056C"/>
    <w:rsid w:val="76F52F86"/>
    <w:rsid w:val="76FCBDC6"/>
    <w:rsid w:val="770ECD2E"/>
    <w:rsid w:val="77936F9E"/>
    <w:rsid w:val="77F9929F"/>
    <w:rsid w:val="7831D3AA"/>
    <w:rsid w:val="78457E6D"/>
    <w:rsid w:val="78B4E6FF"/>
    <w:rsid w:val="79CB1D1B"/>
    <w:rsid w:val="79E8A62E"/>
    <w:rsid w:val="7A2A9DAA"/>
    <w:rsid w:val="7A50B760"/>
    <w:rsid w:val="7ACE7F23"/>
    <w:rsid w:val="7AD26536"/>
    <w:rsid w:val="7B710B02"/>
    <w:rsid w:val="7B7D1F2F"/>
    <w:rsid w:val="7C263826"/>
    <w:rsid w:val="7C57B9C5"/>
    <w:rsid w:val="7CFFDAD8"/>
    <w:rsid w:val="7D885822"/>
    <w:rsid w:val="7DA1807F"/>
    <w:rsid w:val="7DC20887"/>
    <w:rsid w:val="7DF38A26"/>
    <w:rsid w:val="7E714AE9"/>
    <w:rsid w:val="7E84ED9B"/>
    <w:rsid w:val="7EBCAD77"/>
    <w:rsid w:val="7F1E670A"/>
    <w:rsid w:val="7F3D50E0"/>
    <w:rsid w:val="7F727BF4"/>
    <w:rsid w:val="7F8EC461"/>
    <w:rsid w:val="7F970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7EA"/>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C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52C8"/>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rsid w:val="00D752C8"/>
  </w:style>
  <w:style w:type="paragraph" w:styleId="Footer">
    <w:name w:val="footer"/>
    <w:basedOn w:val="Normal"/>
    <w:link w:val="FooterChar"/>
    <w:unhideWhenUsed/>
    <w:rsid w:val="00D752C8"/>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rsid w:val="00D752C8"/>
  </w:style>
  <w:style w:type="character" w:styleId="Hyperlink">
    <w:name w:val="Hyperlink"/>
    <w:basedOn w:val="DefaultParagraphFont"/>
    <w:uiPriority w:val="99"/>
    <w:unhideWhenUsed/>
    <w:rsid w:val="00D752C8"/>
    <w:rPr>
      <w:color w:val="0563C1"/>
      <w:u w:val="single"/>
    </w:rPr>
  </w:style>
  <w:style w:type="paragraph" w:styleId="ListParagraph">
    <w:name w:val="List Paragraph"/>
    <w:basedOn w:val="Normal"/>
    <w:uiPriority w:val="1"/>
    <w:qFormat/>
    <w:rsid w:val="00C85AD1"/>
    <w:pPr>
      <w:ind w:left="720"/>
      <w:contextualSpacing/>
    </w:pPr>
  </w:style>
  <w:style w:type="paragraph" w:styleId="BalloonText">
    <w:name w:val="Balloon Text"/>
    <w:basedOn w:val="Normal"/>
    <w:link w:val="BalloonTextChar"/>
    <w:uiPriority w:val="99"/>
    <w:semiHidden/>
    <w:unhideWhenUsed/>
    <w:rsid w:val="00FF5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C9"/>
    <w:rPr>
      <w:rFonts w:ascii="Segoe UI" w:hAnsi="Segoe UI" w:cs="Segoe UI"/>
      <w:sz w:val="18"/>
      <w:szCs w:val="18"/>
    </w:rPr>
  </w:style>
  <w:style w:type="table" w:styleId="TableGrid">
    <w:name w:val="Table Grid"/>
    <w:basedOn w:val="TableNormal"/>
    <w:uiPriority w:val="39"/>
    <w:rsid w:val="0066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2F57"/>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AF2F57"/>
    <w:rPr>
      <w:rFonts w:ascii="Trebuchet MS" w:eastAsia="Trebuchet MS" w:hAnsi="Trebuchet MS" w:cs="Trebuchet MS"/>
      <w:lang w:val="en-US"/>
    </w:rPr>
  </w:style>
  <w:style w:type="paragraph" w:styleId="FootnoteText">
    <w:name w:val="footnote text"/>
    <w:basedOn w:val="Normal"/>
    <w:link w:val="FootnoteTextChar"/>
    <w:uiPriority w:val="99"/>
    <w:semiHidden/>
    <w:unhideWhenUsed/>
    <w:rsid w:val="00FF0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69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F069A"/>
    <w:rPr>
      <w:vertAlign w:val="superscript"/>
    </w:rPr>
  </w:style>
  <w:style w:type="table" w:customStyle="1" w:styleId="TableGrid1">
    <w:name w:val="Table Grid1"/>
    <w:basedOn w:val="TableNormal"/>
    <w:next w:val="TableGrid"/>
    <w:uiPriority w:val="39"/>
    <w:rsid w:val="009A296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a-guide-for-parents-on-school-behaviour-and-exclu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3ac67ded99144ba9" Type="http://schemas.microsoft.com/office/2020/10/relationships/intelligence" Target="intelligence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hildlawadvice.org.uk/information-pages/school-exclu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228D-BA78-49FF-BE7F-5BA980BA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11</cp:revision>
  <cp:lastPrinted>2024-11-11T13:30:00Z</cp:lastPrinted>
  <dcterms:created xsi:type="dcterms:W3CDTF">2024-11-11T12:07:00Z</dcterms:created>
  <dcterms:modified xsi:type="dcterms:W3CDTF">2024-11-11T13:31:00Z</dcterms:modified>
</cp:coreProperties>
</file>