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E4" w:rsidRPr="00BF406A" w:rsidRDefault="00020AE4" w:rsidP="00020AE4">
      <w:pPr>
        <w:pStyle w:val="Unithead"/>
        <w:spacing w:line="312" w:lineRule="auto"/>
      </w:pPr>
      <w:bookmarkStart w:id="0" w:name="_GoBack"/>
      <w:bookmarkEnd w:id="0"/>
      <w:r>
        <w:t>AQA</w:t>
      </w:r>
      <w:r w:rsidRPr="00BF406A">
        <w:t xml:space="preserve"> Level 3 Extended Project Qualification </w:t>
      </w:r>
    </w:p>
    <w:p w:rsidR="00020AE4" w:rsidRPr="00E55E3F" w:rsidRDefault="00020AE4" w:rsidP="00020AE4">
      <w:pPr>
        <w:pStyle w:val="Ahead"/>
      </w:pPr>
      <w:r w:rsidRPr="00E55E3F">
        <w:t xml:space="preserve">Scheme of work: </w:t>
      </w:r>
      <w:r>
        <w:t>3 Terms</w:t>
      </w:r>
    </w:p>
    <w:p w:rsidR="00020AE4" w:rsidRPr="00E90F17" w:rsidRDefault="00020AE4" w:rsidP="00020AE4">
      <w:pPr>
        <w:pStyle w:val="Text"/>
        <w:rPr>
          <w:rFonts w:asciiTheme="minorHAnsi" w:hAnsiTheme="minorHAnsi" w:cstheme="minorHAnsi"/>
          <w:sz w:val="24"/>
          <w:szCs w:val="24"/>
        </w:rPr>
      </w:pPr>
      <w:r w:rsidRPr="00E90F17">
        <w:rPr>
          <w:rFonts w:asciiTheme="minorHAnsi" w:hAnsiTheme="minorHAnsi" w:cstheme="minorHAnsi"/>
          <w:sz w:val="24"/>
          <w:szCs w:val="24"/>
        </w:rPr>
        <w:t>This scheme of work is designed to support a three-term programme of teaching and project work. It is designed to be taught using a sequence of activities, which could be set as assignments on a learning platform</w:t>
      </w:r>
      <w:r w:rsidRPr="00E90F17">
        <w:rPr>
          <w:rFonts w:asciiTheme="minorHAnsi" w:hAnsiTheme="minorHAnsi" w:cstheme="minorHAnsi"/>
          <w:sz w:val="24"/>
          <w:szCs w:val="24"/>
          <w:lang w:val="en-IN"/>
        </w:rPr>
        <w:t xml:space="preserve"> and</w:t>
      </w:r>
      <w:r w:rsidRPr="00E90F17">
        <w:rPr>
          <w:rFonts w:asciiTheme="minorHAnsi" w:hAnsiTheme="minorHAnsi" w:cstheme="minorHAnsi"/>
          <w:sz w:val="24"/>
          <w:szCs w:val="24"/>
        </w:rPr>
        <w:t xml:space="preserve"> interspersed with classroom discussion activities. The focus should be on students learning for themselves and making their own decisions about how to prepare for and carry out their projects. Cloud-based systems, such as Microsoft</w:t>
      </w:r>
      <w:r w:rsidRPr="00E90F17">
        <w:rPr>
          <w:rFonts w:asciiTheme="minorHAnsi" w:hAnsiTheme="minorHAnsi" w:cstheme="minorHAnsi"/>
          <w:sz w:val="24"/>
          <w:szCs w:val="24"/>
          <w:vertAlign w:val="superscript"/>
        </w:rPr>
        <w:t>®</w:t>
      </w:r>
      <w:r w:rsidRPr="00E90F17">
        <w:rPr>
          <w:rFonts w:asciiTheme="minorHAnsi" w:hAnsiTheme="minorHAnsi" w:cstheme="minorHAnsi"/>
          <w:sz w:val="24"/>
          <w:szCs w:val="24"/>
        </w:rPr>
        <w:t xml:space="preserve"> Teams, provide valuable tool for sharing resources and the management of ongoing project work. Using such systems </w:t>
      </w:r>
      <w:r w:rsidRPr="00E90F17">
        <w:rPr>
          <w:rFonts w:asciiTheme="minorHAnsi" w:hAnsiTheme="minorHAnsi" w:cstheme="minorHAnsi"/>
          <w:sz w:val="24"/>
          <w:szCs w:val="24"/>
          <w:lang w:val="en-IN"/>
        </w:rPr>
        <w:t xml:space="preserve">allows </w:t>
      </w:r>
      <w:r w:rsidRPr="00E90F17">
        <w:rPr>
          <w:rFonts w:asciiTheme="minorHAnsi" w:hAnsiTheme="minorHAnsi" w:cstheme="minorHAnsi"/>
          <w:sz w:val="24"/>
          <w:szCs w:val="24"/>
        </w:rPr>
        <w:t>students to take control of the learning process, while also enabling supervisors to monitor their progress easily.</w:t>
      </w:r>
    </w:p>
    <w:p w:rsidR="00020AE4" w:rsidRPr="00E90F17" w:rsidRDefault="00020AE4" w:rsidP="00020AE4">
      <w:pPr>
        <w:pStyle w:val="Text"/>
        <w:rPr>
          <w:rFonts w:asciiTheme="minorHAnsi" w:hAnsiTheme="minorHAnsi" w:cstheme="minorHAnsi"/>
          <w:sz w:val="24"/>
          <w:szCs w:val="24"/>
        </w:rPr>
      </w:pPr>
    </w:p>
    <w:p w:rsidR="00020AE4" w:rsidRPr="00E90F17" w:rsidRDefault="00020AE4" w:rsidP="00020AE4">
      <w:pPr>
        <w:pStyle w:val="Text"/>
        <w:rPr>
          <w:rFonts w:asciiTheme="minorHAnsi" w:hAnsiTheme="minorHAnsi" w:cstheme="minorHAnsi"/>
          <w:sz w:val="24"/>
          <w:szCs w:val="24"/>
        </w:rPr>
      </w:pPr>
      <w:r w:rsidRPr="00E90F17">
        <w:rPr>
          <w:rFonts w:asciiTheme="minorHAnsi" w:hAnsiTheme="minorHAnsi" w:cstheme="minorHAnsi"/>
          <w:sz w:val="24"/>
          <w:szCs w:val="24"/>
        </w:rPr>
        <w:t xml:space="preserve">It is anticipated that the activities will be delivered using two hours of face-to-face classroom time with further work done outside the classroom. In the first phase of the course, the focus is on developing skills and preparing for the AQA Level 3 Extended Project Qualification. As a general guide, one activity will be carried out each week. </w:t>
      </w:r>
    </w:p>
    <w:p w:rsidR="00020AE4" w:rsidRDefault="00020AE4" w:rsidP="00020AE4">
      <w:pPr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tbl>
      <w:tblPr>
        <w:tblStyle w:val="Table1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1880"/>
        <w:gridCol w:w="2680"/>
        <w:gridCol w:w="2202"/>
        <w:gridCol w:w="2093"/>
        <w:gridCol w:w="3336"/>
      </w:tblGrid>
      <w:tr w:rsidR="00020AE4" w:rsidTr="004D2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Default="00020AE4" w:rsidP="004D2188">
            <w:pPr>
              <w:pStyle w:val="Tablehead"/>
              <w:spacing w:after="0" w:line="264" w:lineRule="auto"/>
            </w:pPr>
            <w:r>
              <w:lastRenderedPageBreak/>
              <w:t>Weekly activity/skill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head"/>
              <w:spacing w:after="0" w:line="264" w:lineRule="auto"/>
            </w:pPr>
            <w:r>
              <w:t>Overview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head"/>
              <w:spacing w:after="0" w:line="264" w:lineRule="auto"/>
            </w:pPr>
            <w:r>
              <w:t>Activities</w:t>
            </w: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head"/>
              <w:spacing w:after="0" w:line="264" w:lineRule="auto"/>
            </w:pPr>
            <w:r>
              <w:t xml:space="preserve">Future skills portfolio builder 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head"/>
              <w:spacing w:after="0" w:line="264" w:lineRule="auto"/>
            </w:pPr>
            <w:r>
              <w:t>Employability skills development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head"/>
              <w:spacing w:after="0" w:line="264" w:lineRule="auto"/>
            </w:pPr>
            <w:r>
              <w:t>Resources</w:t>
            </w:r>
          </w:p>
        </w:tc>
      </w:tr>
      <w:tr w:rsidR="00020AE4" w:rsidTr="004D2188">
        <w:trPr>
          <w:cantSplit/>
          <w:trHeight w:val="300"/>
          <w:jc w:val="center"/>
        </w:trPr>
        <w:tc>
          <w:tcPr>
            <w:tcW w:w="14485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Default="00020AE4" w:rsidP="004D2188">
            <w:pPr>
              <w:autoSpaceDE w:val="0"/>
              <w:autoSpaceDN w:val="0"/>
              <w:adjustRightInd w:val="0"/>
              <w:spacing w:line="264" w:lineRule="auto"/>
            </w:pPr>
            <w:r w:rsidRPr="00020AE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First half of term 1</w:t>
            </w:r>
            <w:r w:rsidRPr="00020AE4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Approximately 7 weeks</w:t>
            </w:r>
          </w:p>
        </w:tc>
      </w:tr>
      <w:tr w:rsidR="00020AE4" w:rsidTr="004D2188">
        <w:trPr>
          <w:cantSplit/>
          <w:trHeight w:val="2040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Pr="00E90F17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E90F17">
              <w:rPr>
                <w:b/>
              </w:rPr>
              <w:t>Week 1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What is an EPQ?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Introduction to EPQ, with the aim of getting students to start thinking about possible projects.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Review specification. Students share initial thoughts about possible EPQ ideas – but no pressure to choose yet!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Highlight possible topics of interest.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 xml:space="preserve">Create a spider diagram and brainstorm different hobbies, interests, future careers </w:t>
            </w:r>
            <w:proofErr w:type="spellStart"/>
            <w:r>
              <w:t>etc</w:t>
            </w:r>
            <w:proofErr w:type="spellEnd"/>
          </w:p>
          <w:p w:rsidR="00020AE4" w:rsidRDefault="00020AE4" w:rsidP="004D2188">
            <w:pPr>
              <w:pStyle w:val="Tabletext"/>
              <w:spacing w:after="0" w:line="264" w:lineRule="auto"/>
            </w:pP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Plan for potential problems and solutions on a project.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Understanding project working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rFonts w:cs="Tahoma"/>
                <w:lang w:val="en-IN"/>
              </w:rPr>
            </w:pPr>
            <w:r>
              <w:rPr>
                <w:rFonts w:cs="Tahoma"/>
                <w:lang w:val="en-IN"/>
              </w:rPr>
              <w:t>PowerPoint presentation</w:t>
            </w:r>
          </w:p>
          <w:p w:rsidR="00020AE4" w:rsidRDefault="00020AE4" w:rsidP="004D2188">
            <w:pPr>
              <w:pStyle w:val="Tabletext"/>
              <w:spacing w:after="0" w:line="264" w:lineRule="auto"/>
              <w:rPr>
                <w:rFonts w:cs="Tahoma"/>
                <w:lang w:val="en-IN"/>
              </w:rPr>
            </w:pP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rPr>
                <w:rFonts w:cs="Tahoma"/>
                <w:lang w:val="en-IN"/>
              </w:rPr>
              <w:t>Worksheet on choosing a topic</w:t>
            </w:r>
          </w:p>
        </w:tc>
      </w:tr>
      <w:tr w:rsidR="00020AE4" w:rsidTr="004D2188">
        <w:trPr>
          <w:cantSplit/>
          <w:trHeight w:val="1965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Pr="00E90F17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E90F17">
              <w:rPr>
                <w:b/>
              </w:rPr>
              <w:t>Week 2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Developing ideas and initial research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develop potential links to areas of interest.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to research initial ideas and try to zoom into something specific.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Analyse potential areas of interest.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Can share ideas with peers.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Research skills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Writing skills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Analysing skills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Develop an understanding of the value of chosen topic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 xml:space="preserve">SWOT sheet </w:t>
            </w:r>
          </w:p>
        </w:tc>
      </w:tr>
      <w:tr w:rsidR="00020AE4" w:rsidTr="004D2188">
        <w:trPr>
          <w:cantSplit/>
          <w:trHeight w:val="1819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Pr="00773E61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773E61">
              <w:rPr>
                <w:b/>
              </w:rPr>
              <w:lastRenderedPageBreak/>
              <w:t>Week 3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What makes a meaningful title?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to discuss the importance of choosing a title that is not too vague or broad.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Share a list of possible titles, research and discuss (group discussion then post a proposed title onto the learning platform).</w:t>
            </w: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Evaluate how effective solutions are in practice.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Solve important problems; invent new solutions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YouTube video on choosing a good title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</w:tc>
      </w:tr>
      <w:tr w:rsidR="00020AE4" w:rsidTr="004D2188">
        <w:trPr>
          <w:cantSplit/>
          <w:trHeight w:val="875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  <w:lang w:val="en-IN"/>
              </w:rPr>
            </w:pPr>
            <w:r w:rsidRPr="00773E61">
              <w:rPr>
                <w:b/>
                <w:lang w:val="en-IN"/>
              </w:rPr>
              <w:t>Week 4</w:t>
            </w:r>
          </w:p>
          <w:p w:rsidR="00020AE4" w:rsidRPr="00773E61" w:rsidRDefault="00020AE4" w:rsidP="004D2188">
            <w:pPr>
              <w:pStyle w:val="Tabletext"/>
              <w:spacing w:after="0" w:line="264" w:lineRule="auto"/>
              <w:rPr>
                <w:lang w:val="en-IN"/>
              </w:rPr>
            </w:pPr>
            <w:r w:rsidRPr="00773E61">
              <w:rPr>
                <w:lang w:val="en-IN"/>
              </w:rPr>
              <w:t>Individual project proposal meetings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Supervisor to discuss with students about the suitability of their project proposal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One to one discussions with students to highlight the importance of a project that are able to research fully on.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Look into the ethics of the project proposal.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Is it suitable for their future destinations?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Invent, choose and develop new concepts as a team.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To be able to use feedback constructively.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work</w:t>
            </w:r>
          </w:p>
        </w:tc>
      </w:tr>
      <w:tr w:rsidR="00020AE4" w:rsidTr="004D2188">
        <w:trPr>
          <w:cantSplit/>
          <w:trHeight w:val="1275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565411">
              <w:rPr>
                <w:b/>
              </w:rPr>
              <w:t>Week 5</w:t>
            </w:r>
          </w:p>
          <w:p w:rsidR="00020AE4" w:rsidRPr="00565411" w:rsidRDefault="00020AE4" w:rsidP="004D2188">
            <w:pPr>
              <w:pStyle w:val="Tabletext"/>
              <w:spacing w:after="0" w:line="264" w:lineRule="auto"/>
            </w:pPr>
            <w:r w:rsidRPr="00565411">
              <w:t>Record of initial ideas in the production log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For students to reflect on their initial ideas and log them in the production log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Supervisor to provide guidance on how to fill in the production log.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to work independently to complete the first part of the log based on feedback already received.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To evaluate and develop current ideas.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To be able to reflect on feedback and come up with a solution.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Production log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Exemplar piece of work</w:t>
            </w:r>
          </w:p>
        </w:tc>
      </w:tr>
      <w:tr w:rsidR="00020AE4" w:rsidTr="004D2188">
        <w:trPr>
          <w:cantSplit/>
          <w:trHeight w:val="1935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565411">
              <w:rPr>
                <w:b/>
              </w:rPr>
              <w:lastRenderedPageBreak/>
              <w:t>Week 6</w:t>
            </w:r>
          </w:p>
          <w:p w:rsidR="00020AE4" w:rsidRDefault="00020AE4" w:rsidP="004D21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Complete part A of the production log</w:t>
            </w:r>
          </w:p>
          <w:p w:rsidR="00020AE4" w:rsidRPr="00565411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To record initial ideas and research plan.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to use their initial ideas to record the layout of their proposed project idea by completing the part A of the log.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Invent, choose and develop new concepts.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To be able to reflect on ideas and build upon them.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 w:rsidRPr="008E442C">
              <w:t>Exempla</w:t>
            </w:r>
            <w:r>
              <w:t>r of Student log</w:t>
            </w:r>
          </w:p>
        </w:tc>
      </w:tr>
      <w:tr w:rsidR="00020AE4" w:rsidTr="004D2188">
        <w:trPr>
          <w:cantSplit/>
          <w:trHeight w:val="179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Pr="009E313B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9E313B">
              <w:rPr>
                <w:b/>
              </w:rPr>
              <w:t xml:space="preserve">Week 7 </w:t>
            </w:r>
          </w:p>
          <w:p w:rsidR="00020AE4" w:rsidRPr="009E313B" w:rsidRDefault="00020AE4" w:rsidP="004D21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13B">
              <w:rPr>
                <w:rFonts w:asciiTheme="minorHAnsi" w:hAnsiTheme="minorHAnsi" w:cstheme="minorHAnsi"/>
                <w:sz w:val="22"/>
                <w:szCs w:val="22"/>
              </w:rPr>
              <w:t>Feedback and amend the production log</w:t>
            </w:r>
          </w:p>
          <w:p w:rsidR="00020AE4" w:rsidRDefault="00020AE4" w:rsidP="004D2188"/>
          <w:p w:rsidR="00020AE4" w:rsidRPr="0094615A" w:rsidRDefault="00020AE4" w:rsidP="004D2188"/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Supervisor to give feedback based on work completed in log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Group discussions and one to one meetings to discuss the detail in the individual logs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To evaluate and develop current ideas.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To be able to use feedback constructively.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To be able to adapt to changes.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Production logs</w:t>
            </w:r>
          </w:p>
        </w:tc>
      </w:tr>
      <w:tr w:rsidR="00020AE4" w:rsidTr="004D2188">
        <w:trPr>
          <w:cantSplit/>
          <w:trHeight w:val="255"/>
          <w:jc w:val="center"/>
        </w:trPr>
        <w:tc>
          <w:tcPr>
            <w:tcW w:w="14485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020AE4" w:rsidRDefault="00020AE4" w:rsidP="004D2188">
            <w:pPr>
              <w:pStyle w:val="Tablesub-head"/>
              <w:keepNext/>
              <w:keepLines/>
              <w:spacing w:after="0" w:line="264" w:lineRule="auto"/>
            </w:pPr>
            <w:r>
              <w:t>End of Term 1</w:t>
            </w:r>
            <w:r>
              <w:br/>
            </w:r>
            <w:r>
              <w:rPr>
                <w:i/>
              </w:rPr>
              <w:t>Approximately 6</w:t>
            </w:r>
            <w:r w:rsidRPr="00DE1842">
              <w:rPr>
                <w:i/>
              </w:rPr>
              <w:t xml:space="preserve"> weeks</w:t>
            </w:r>
          </w:p>
        </w:tc>
      </w:tr>
      <w:tr w:rsidR="00020AE4" w:rsidTr="004D2188">
        <w:trPr>
          <w:cantSplit/>
          <w:trHeight w:val="2400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EA0EF8">
              <w:rPr>
                <w:b/>
              </w:rPr>
              <w:t>Week 1</w:t>
            </w:r>
          </w:p>
          <w:p w:rsidR="00020AE4" w:rsidRPr="00E11E56" w:rsidRDefault="00020AE4" w:rsidP="004D2188">
            <w:pPr>
              <w:pStyle w:val="Tabletext"/>
              <w:spacing w:after="0" w:line="264" w:lineRule="auto"/>
            </w:pPr>
            <w:r>
              <w:t xml:space="preserve">Planning your project using </w:t>
            </w:r>
            <w:proofErr w:type="spellStart"/>
            <w:r>
              <w:t>gannt</w:t>
            </w:r>
            <w:proofErr w:type="spellEnd"/>
            <w:r>
              <w:t xml:space="preserve"> charts and time management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to create a timeline of events with deadlines.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Discuss a time plan for the EPQ.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should have a timeline of the different tasks they need to perform and when they need to be completed by.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 xml:space="preserve">Students to produce a </w:t>
            </w:r>
            <w:proofErr w:type="spellStart"/>
            <w:r>
              <w:t>gannt</w:t>
            </w:r>
            <w:proofErr w:type="spellEnd"/>
            <w:r>
              <w:t xml:space="preserve"> chart using excel.</w:t>
            </w: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Develop a toolkit of problem-solving strategies.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Time management tools for work.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keepNext/>
              <w:keepLines/>
              <w:spacing w:after="0" w:line="264" w:lineRule="auto"/>
            </w:pPr>
            <w:r>
              <w:t>Use of the EPQ student SOW</w:t>
            </w:r>
          </w:p>
          <w:p w:rsidR="00020AE4" w:rsidRDefault="00020AE4" w:rsidP="004D2188">
            <w:pPr>
              <w:pStyle w:val="Tabletext"/>
              <w:keepNext/>
              <w:keepLines/>
              <w:spacing w:after="0" w:line="264" w:lineRule="auto"/>
            </w:pPr>
          </w:p>
          <w:p w:rsidR="00020AE4" w:rsidRDefault="00020AE4" w:rsidP="004D2188">
            <w:pPr>
              <w:pStyle w:val="Tabletext"/>
              <w:keepNext/>
              <w:keepLines/>
              <w:spacing w:after="0" w:line="264" w:lineRule="auto"/>
            </w:pPr>
            <w:r>
              <w:t xml:space="preserve">Excel </w:t>
            </w:r>
          </w:p>
        </w:tc>
      </w:tr>
      <w:tr w:rsidR="00020AE4" w:rsidTr="004D2188">
        <w:trPr>
          <w:cantSplit/>
          <w:trHeight w:val="1785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Pr="00E11E56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E11E56">
              <w:rPr>
                <w:b/>
              </w:rPr>
              <w:lastRenderedPageBreak/>
              <w:t>Week 2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Research methods and collecting data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 xml:space="preserve">Provide guidance to students about research skills. Emphasise the importance of writing as they go, summarising sources in their own words. Introduce Google Scholar™. Introduce referencing tools such as Google </w:t>
            </w:r>
            <w:r w:rsidRPr="00C01D86">
              <w:rPr>
                <w:rFonts w:cs="Tahoma"/>
                <w:szCs w:val="21"/>
                <w:lang w:val="en-IN"/>
              </w:rPr>
              <w:t>Docs™</w:t>
            </w:r>
            <w:r>
              <w:t xml:space="preserve"> Explore </w:t>
            </w:r>
            <w:r w:rsidRPr="00C01D86">
              <w:rPr>
                <w:rFonts w:cs="Tahoma"/>
                <w:szCs w:val="21"/>
                <w:lang w:val="en-IN"/>
              </w:rPr>
              <w:t>tool</w:t>
            </w:r>
            <w:r>
              <w:t xml:space="preserve"> or Microsoft</w:t>
            </w:r>
            <w:r w:rsidRPr="004A7BD1">
              <w:rPr>
                <w:vertAlign w:val="superscript"/>
              </w:rPr>
              <w:t>®</w:t>
            </w:r>
            <w:r>
              <w:t xml:space="preserve"> Word's References tool.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Pr="00970ADB" w:rsidRDefault="00020AE4" w:rsidP="004D2188">
            <w:pPr>
              <w:pStyle w:val="Tabletext"/>
              <w:spacing w:after="0" w:line="264" w:lineRule="auto"/>
            </w:pPr>
            <w:r>
              <w:t xml:space="preserve">Create a list of sources to be explored. Students practise using Google Scholar™ and creating citations using the Google </w:t>
            </w:r>
            <w:r w:rsidRPr="00C01D86">
              <w:rPr>
                <w:rFonts w:cs="Tahoma"/>
                <w:szCs w:val="21"/>
                <w:lang w:val="en-IN"/>
              </w:rPr>
              <w:t>Docs™</w:t>
            </w:r>
            <w:r>
              <w:t xml:space="preserve"> Explore tool or Microsoft</w:t>
            </w:r>
            <w:r w:rsidRPr="004A7BD1">
              <w:rPr>
                <w:vertAlign w:val="superscript"/>
              </w:rPr>
              <w:t>®</w:t>
            </w:r>
            <w:r>
              <w:t xml:space="preserve"> Word's References tool.</w:t>
            </w: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Manipulate data to interpret information and support key decisions on a project.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Researching information for work using digital skills. Presenting information for work using digital skills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Google Scholar™/Google Docs™/</w:t>
            </w:r>
            <w:r>
              <w:br/>
              <w:t>Microsoft</w:t>
            </w:r>
            <w:r w:rsidRPr="004A7BD1">
              <w:rPr>
                <w:vertAlign w:val="superscript"/>
              </w:rPr>
              <w:t>®</w:t>
            </w:r>
            <w:r>
              <w:t xml:space="preserve"> Teams/Word.</w:t>
            </w:r>
          </w:p>
        </w:tc>
      </w:tr>
      <w:tr w:rsidR="00020AE4" w:rsidTr="004D2188">
        <w:trPr>
          <w:cantSplit/>
          <w:trHeight w:val="1650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DD0112">
              <w:rPr>
                <w:b/>
              </w:rPr>
              <w:t>Week 3</w:t>
            </w:r>
          </w:p>
          <w:p w:rsidR="00020AE4" w:rsidRPr="00DD0112" w:rsidRDefault="00020AE4" w:rsidP="004D2188">
            <w:pPr>
              <w:pStyle w:val="Tabletext"/>
              <w:spacing w:after="0" w:line="264" w:lineRule="auto"/>
            </w:pPr>
            <w:r w:rsidRPr="00DD0112">
              <w:t>Health and safety whilst carrying out research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Discuss ethics of research (informed consent, risk analysis, safeguarding issues). Review choice of title with supervisor.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to complete a self-checklist to ensure that they carry out any relevant research carefully and risk free.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to discuss why each point is valid and the repercussions if not followed.</w:t>
            </w: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Learn how to make difficult business decisions.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Employee values, honesty and ethical decision-making at work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spacing w:val="-4"/>
              </w:rPr>
            </w:pPr>
            <w:r w:rsidRPr="00704ADA">
              <w:rPr>
                <w:spacing w:val="-4"/>
              </w:rPr>
              <w:t>Online sources on research ethics and informed consent.</w:t>
            </w:r>
          </w:p>
          <w:p w:rsidR="00020AE4" w:rsidRDefault="00020AE4" w:rsidP="004D2188">
            <w:pPr>
              <w:pStyle w:val="Tabletext"/>
              <w:spacing w:after="0" w:line="264" w:lineRule="auto"/>
              <w:rPr>
                <w:spacing w:val="-4"/>
              </w:rPr>
            </w:pPr>
          </w:p>
          <w:p w:rsidR="00020AE4" w:rsidRDefault="00020AE4" w:rsidP="004D2188">
            <w:pPr>
              <w:pStyle w:val="Tabletext"/>
              <w:spacing w:after="0" w:line="264" w:lineRule="auto"/>
            </w:pPr>
          </w:p>
        </w:tc>
      </w:tr>
      <w:tr w:rsidR="00020AE4" w:rsidTr="004D2188">
        <w:trPr>
          <w:cantSplit/>
          <w:trHeight w:val="1275"/>
          <w:jc w:val="center"/>
        </w:trPr>
        <w:tc>
          <w:tcPr>
            <w:tcW w:w="156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 w:rsidRPr="00DD0112">
              <w:rPr>
                <w:b/>
              </w:rPr>
              <w:lastRenderedPageBreak/>
              <w:t>Week 4</w:t>
            </w:r>
          </w:p>
          <w:p w:rsidR="00020AE4" w:rsidRPr="00DD0112" w:rsidRDefault="00020AE4" w:rsidP="004D2188">
            <w:pPr>
              <w:pStyle w:val="Tabletext"/>
              <w:spacing w:after="0" w:line="264" w:lineRule="auto"/>
            </w:pPr>
            <w:r>
              <w:t xml:space="preserve">How to deliver a presentation </w:t>
            </w:r>
          </w:p>
        </w:tc>
        <w:tc>
          <w:tcPr>
            <w:tcW w:w="1990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Preparation for presentations of pilot projects.</w:t>
            </w:r>
          </w:p>
        </w:tc>
        <w:tc>
          <w:tcPr>
            <w:tcW w:w="284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Key skills needed for a presentation should be discussed as a group.</w:t>
            </w:r>
          </w:p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reflect on what makes a successful presentation and begin to prepare to present their pilot projects.</w:t>
            </w:r>
          </w:p>
        </w:tc>
        <w:tc>
          <w:tcPr>
            <w:tcW w:w="2333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Structure a speech to convey an argument.</w:t>
            </w:r>
          </w:p>
        </w:tc>
        <w:tc>
          <w:tcPr>
            <w:tcW w:w="2217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Presentation preparation and delivery</w:t>
            </w:r>
          </w:p>
        </w:tc>
        <w:tc>
          <w:tcPr>
            <w:tcW w:w="3542" w:type="dxa"/>
            <w:shd w:val="clear" w:color="auto" w:fill="auto"/>
            <w:hideMark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PowerPoint presentation</w:t>
            </w:r>
          </w:p>
        </w:tc>
      </w:tr>
      <w:tr w:rsidR="00020AE4" w:rsidTr="004D2188">
        <w:trPr>
          <w:cantSplit/>
          <w:trHeight w:val="1275"/>
          <w:jc w:val="center"/>
        </w:trPr>
        <w:tc>
          <w:tcPr>
            <w:tcW w:w="1560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>
              <w:rPr>
                <w:b/>
              </w:rPr>
              <w:t>Week 5</w:t>
            </w:r>
          </w:p>
          <w:p w:rsidR="00020AE4" w:rsidRPr="00C71C00" w:rsidRDefault="00020AE4" w:rsidP="004D2188">
            <w:pPr>
              <w:pStyle w:val="Tabletext"/>
              <w:spacing w:after="0" w:line="264" w:lineRule="auto"/>
            </w:pPr>
            <w:r w:rsidRPr="00C71C00">
              <w:t>Deliver a mini presentation for planning review</w:t>
            </w:r>
          </w:p>
        </w:tc>
        <w:tc>
          <w:tcPr>
            <w:tcW w:w="1990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present their pilot projects.</w:t>
            </w:r>
          </w:p>
        </w:tc>
        <w:tc>
          <w:tcPr>
            <w:tcW w:w="2843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take turns to present and then participate by questioning other students.</w:t>
            </w:r>
          </w:p>
        </w:tc>
        <w:tc>
          <w:tcPr>
            <w:tcW w:w="2333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Structure a speech to convey an argument.</w:t>
            </w:r>
          </w:p>
        </w:tc>
        <w:tc>
          <w:tcPr>
            <w:tcW w:w="2217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Presentation preparation and delivery</w:t>
            </w:r>
          </w:p>
        </w:tc>
        <w:tc>
          <w:tcPr>
            <w:tcW w:w="3542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PowerPoint presentation</w:t>
            </w:r>
          </w:p>
        </w:tc>
      </w:tr>
      <w:tr w:rsidR="00020AE4" w:rsidTr="004D2188">
        <w:trPr>
          <w:cantSplit/>
          <w:trHeight w:val="1275"/>
          <w:jc w:val="center"/>
        </w:trPr>
        <w:tc>
          <w:tcPr>
            <w:tcW w:w="1560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  <w:rPr>
                <w:b/>
              </w:rPr>
            </w:pPr>
            <w:r>
              <w:rPr>
                <w:b/>
              </w:rPr>
              <w:t xml:space="preserve">Week 6 </w:t>
            </w:r>
          </w:p>
          <w:p w:rsidR="00020AE4" w:rsidRPr="00C71C00" w:rsidRDefault="00020AE4" w:rsidP="004D2188">
            <w:pPr>
              <w:pStyle w:val="Tabletext"/>
              <w:spacing w:after="0" w:line="264" w:lineRule="auto"/>
            </w:pPr>
            <w:r w:rsidRPr="00C71C00">
              <w:t>Planning review</w:t>
            </w:r>
          </w:p>
        </w:tc>
        <w:tc>
          <w:tcPr>
            <w:tcW w:w="1990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Students complete their planning review</w:t>
            </w:r>
          </w:p>
        </w:tc>
        <w:tc>
          <w:tcPr>
            <w:tcW w:w="2843" w:type="dxa"/>
            <w:shd w:val="clear" w:color="auto" w:fill="auto"/>
          </w:tcPr>
          <w:p w:rsidR="00020AE4" w:rsidRDefault="00020AE4" w:rsidP="004D2188">
            <w:pPr>
              <w:rPr>
                <w:rFonts w:cs="Arial"/>
                <w:sz w:val="20"/>
                <w:szCs w:val="20"/>
              </w:rPr>
            </w:pPr>
            <w:r w:rsidRPr="002C7B63">
              <w:rPr>
                <w:rFonts w:ascii="Arial" w:hAnsi="Arial" w:cs="Arial"/>
                <w:sz w:val="20"/>
                <w:szCs w:val="20"/>
              </w:rPr>
              <w:t>Students record their plan once proposal has been approved.</w:t>
            </w:r>
          </w:p>
          <w:p w:rsidR="00020AE4" w:rsidRDefault="00020AE4" w:rsidP="004D2188">
            <w:pPr>
              <w:rPr>
                <w:rFonts w:cs="Arial"/>
                <w:sz w:val="20"/>
                <w:szCs w:val="20"/>
              </w:rPr>
            </w:pPr>
          </w:p>
          <w:p w:rsidR="00020AE4" w:rsidRDefault="00020AE4" w:rsidP="004D2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Students record their steps in planning, researching and deadlines that they will set themselves.</w:t>
            </w:r>
          </w:p>
          <w:p w:rsidR="00020AE4" w:rsidRDefault="00020AE4" w:rsidP="004D2188">
            <w:pPr>
              <w:rPr>
                <w:rFonts w:cs="Arial"/>
                <w:sz w:val="20"/>
                <w:szCs w:val="20"/>
              </w:rPr>
            </w:pPr>
          </w:p>
          <w:p w:rsidR="00020AE4" w:rsidRPr="002C7B63" w:rsidRDefault="00020AE4" w:rsidP="004D21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They will also include resources and any recommendations.</w:t>
            </w:r>
          </w:p>
        </w:tc>
        <w:tc>
          <w:tcPr>
            <w:tcW w:w="2333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Plan for potential future problems and solutions on a project.</w:t>
            </w:r>
          </w:p>
        </w:tc>
        <w:tc>
          <w:tcPr>
            <w:tcW w:w="2217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Project planning</w:t>
            </w:r>
          </w:p>
        </w:tc>
        <w:tc>
          <w:tcPr>
            <w:tcW w:w="3542" w:type="dxa"/>
            <w:shd w:val="clear" w:color="auto" w:fill="auto"/>
          </w:tcPr>
          <w:p w:rsidR="00020AE4" w:rsidRDefault="00020AE4" w:rsidP="004D2188">
            <w:pPr>
              <w:pStyle w:val="Tabletext"/>
              <w:spacing w:after="0" w:line="264" w:lineRule="auto"/>
            </w:pPr>
            <w:r>
              <w:t>Production logs</w:t>
            </w:r>
          </w:p>
        </w:tc>
      </w:tr>
    </w:tbl>
    <w:p w:rsidR="00F27BF5" w:rsidRDefault="00A668C8"/>
    <w:sectPr w:rsidR="00F27BF5" w:rsidSect="00020AE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E4" w:rsidRDefault="00020AE4" w:rsidP="00020AE4">
      <w:r>
        <w:separator/>
      </w:r>
    </w:p>
  </w:endnote>
  <w:endnote w:type="continuationSeparator" w:id="0">
    <w:p w:rsidR="00020AE4" w:rsidRDefault="00020AE4" w:rsidP="000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E4" w:rsidRDefault="00020AE4" w:rsidP="00020AE4">
      <w:r>
        <w:separator/>
      </w:r>
    </w:p>
  </w:footnote>
  <w:footnote w:type="continuationSeparator" w:id="0">
    <w:p w:rsidR="00020AE4" w:rsidRDefault="00020AE4" w:rsidP="0002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E4" w:rsidRDefault="00020A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98F487" wp14:editId="53E99CB5">
          <wp:simplePos x="0" y="0"/>
          <wp:positionH relativeFrom="column">
            <wp:posOffset>8007350</wp:posOffset>
          </wp:positionH>
          <wp:positionV relativeFrom="paragraph">
            <wp:posOffset>-337185</wp:posOffset>
          </wp:positionV>
          <wp:extent cx="1562100" cy="686637"/>
          <wp:effectExtent l="0" t="0" r="0" b="0"/>
          <wp:wrapNone/>
          <wp:docPr id="2" name="Picture 2" descr="Brook 6th Form &amp; Academy - A University Technolog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ook 6th Form &amp; Academy - A University Technology Colle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8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E4"/>
    <w:rsid w:val="00020AE4"/>
    <w:rsid w:val="004B6C06"/>
    <w:rsid w:val="006D1DC3"/>
    <w:rsid w:val="00A668C8"/>
    <w:rsid w:val="00C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4AB97-8AB9-46D8-BCB6-D5AFBBDB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rsid w:val="00020AE4"/>
    <w:pPr>
      <w:spacing w:after="0" w:line="240" w:lineRule="auto"/>
    </w:pPr>
    <w:rPr>
      <w:rFonts w:ascii="Arial" w:eastAsia="Times New Roman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9D9D9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paragraph" w:customStyle="1" w:styleId="Unithead">
    <w:name w:val="Unit head"/>
    <w:basedOn w:val="Normal"/>
    <w:qFormat/>
    <w:rsid w:val="00020AE4"/>
    <w:pPr>
      <w:pBdr>
        <w:top w:val="nil"/>
        <w:left w:val="nil"/>
        <w:bottom w:val="nil"/>
        <w:right w:val="nil"/>
        <w:between w:val="nil"/>
      </w:pBdr>
      <w:spacing w:before="240" w:after="120" w:line="600" w:lineRule="auto"/>
    </w:pPr>
    <w:rPr>
      <w:rFonts w:ascii="Arial" w:eastAsia="Arial" w:hAnsi="Arial" w:cs="Arial"/>
      <w:color w:val="000000"/>
      <w:sz w:val="50"/>
      <w:szCs w:val="50"/>
    </w:rPr>
  </w:style>
  <w:style w:type="paragraph" w:customStyle="1" w:styleId="Ahead">
    <w:name w:val="A head"/>
    <w:basedOn w:val="Normal"/>
    <w:qFormat/>
    <w:rsid w:val="00020AE4"/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right="851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ext">
    <w:name w:val="Text"/>
    <w:basedOn w:val="Normal"/>
    <w:qFormat/>
    <w:rsid w:val="00020AE4"/>
    <w:pPr>
      <w:pBdr>
        <w:top w:val="nil"/>
        <w:left w:val="nil"/>
        <w:bottom w:val="nil"/>
        <w:right w:val="nil"/>
        <w:between w:val="nil"/>
      </w:pBdr>
      <w:spacing w:before="80" w:after="60"/>
      <w:ind w:right="851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ablehead">
    <w:name w:val="Table head"/>
    <w:basedOn w:val="Normal"/>
    <w:qFormat/>
    <w:rsid w:val="00020AE4"/>
    <w:pPr>
      <w:pBdr>
        <w:top w:val="nil"/>
        <w:left w:val="nil"/>
        <w:bottom w:val="nil"/>
        <w:right w:val="nil"/>
        <w:between w:val="nil"/>
      </w:pBdr>
      <w:spacing w:before="80" w:after="60"/>
    </w:pPr>
    <w:rPr>
      <w:rFonts w:ascii="Arial" w:eastAsia="Arial" w:hAnsi="Arial" w:cs="Arial"/>
      <w:b/>
      <w:color w:val="000000"/>
      <w:sz w:val="22"/>
      <w:szCs w:val="22"/>
    </w:rPr>
  </w:style>
  <w:style w:type="paragraph" w:customStyle="1" w:styleId="Tablesub-head">
    <w:name w:val="Table sub-head"/>
    <w:basedOn w:val="Normal"/>
    <w:qFormat/>
    <w:rsid w:val="00020AE4"/>
    <w:pPr>
      <w:pBdr>
        <w:top w:val="nil"/>
        <w:left w:val="nil"/>
        <w:bottom w:val="nil"/>
        <w:right w:val="nil"/>
        <w:between w:val="nil"/>
      </w:pBdr>
      <w:spacing w:before="80" w:after="60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Tabletext">
    <w:name w:val="Table text"/>
    <w:basedOn w:val="Normal"/>
    <w:qFormat/>
    <w:rsid w:val="00020AE4"/>
    <w:pPr>
      <w:pBdr>
        <w:top w:val="nil"/>
        <w:left w:val="nil"/>
        <w:bottom w:val="nil"/>
        <w:right w:val="nil"/>
        <w:between w:val="nil"/>
      </w:pBdr>
      <w:spacing w:before="80" w:after="60"/>
    </w:pPr>
    <w:rPr>
      <w:rFonts w:ascii="Arial" w:eastAsia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0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A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A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Keller</dc:creator>
  <cp:keywords/>
  <dc:description/>
  <cp:lastModifiedBy>Miss Keller</cp:lastModifiedBy>
  <cp:revision>2</cp:revision>
  <dcterms:created xsi:type="dcterms:W3CDTF">2024-10-17T12:13:00Z</dcterms:created>
  <dcterms:modified xsi:type="dcterms:W3CDTF">2024-10-17T12:13:00Z</dcterms:modified>
</cp:coreProperties>
</file>